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71" w:rsidRPr="002A6471" w:rsidRDefault="002A6471" w:rsidP="002A6471">
      <w:pPr>
        <w:pStyle w:val="TSDG"/>
        <w:rPr>
          <w:rFonts w:cs="Tahoma"/>
        </w:rPr>
      </w:pPr>
      <w:bookmarkStart w:id="0" w:name="_Toc515854599"/>
    </w:p>
    <w:p w:rsidR="00BB4FD2" w:rsidRPr="00584FC7" w:rsidRDefault="002A6471" w:rsidP="002A6471">
      <w:pPr>
        <w:pStyle w:val="TitleBook"/>
        <w:spacing w:line="240" w:lineRule="auto"/>
        <w:ind w:left="-810"/>
        <w:jc w:val="both"/>
        <w:rPr>
          <w:rFonts w:cs="Tahoma"/>
          <w:sz w:val="40"/>
          <w:szCs w:val="40"/>
        </w:rPr>
      </w:pPr>
      <w:r>
        <w:rPr>
          <w:rFonts w:cs="Tahoma"/>
          <w:noProof/>
          <w:sz w:val="40"/>
          <w:szCs w:val="40"/>
          <w:lang w:bidi="ar-SA"/>
        </w:rPr>
        <w:drawing>
          <wp:inline distT="0" distB="0" distL="0" distR="0">
            <wp:extent cx="1847850" cy="1428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ss.jpg"/>
                    <pic:cNvPicPr/>
                  </pic:nvPicPr>
                  <pic:blipFill>
                    <a:blip r:embed="rId10">
                      <a:extLst>
                        <a:ext uri="{28A0092B-C50C-407E-A947-70E740481C1C}">
                          <a14:useLocalDpi xmlns:a14="http://schemas.microsoft.com/office/drawing/2010/main" val="0"/>
                        </a:ext>
                      </a:extLst>
                    </a:blip>
                    <a:stretch>
                      <a:fillRect/>
                    </a:stretch>
                  </pic:blipFill>
                  <pic:spPr>
                    <a:xfrm>
                      <a:off x="0" y="0"/>
                      <a:ext cx="1847850" cy="1428750"/>
                    </a:xfrm>
                    <a:prstGeom prst="rect">
                      <a:avLst/>
                    </a:prstGeom>
                  </pic:spPr>
                </pic:pic>
              </a:graphicData>
            </a:graphic>
          </wp:inline>
        </w:drawing>
      </w:r>
    </w:p>
    <w:p w:rsidR="002A6471" w:rsidRDefault="002A6471" w:rsidP="005F05E9">
      <w:pPr>
        <w:rPr>
          <w:b/>
          <w:color w:val="0070C0"/>
          <w:sz w:val="48"/>
          <w:szCs w:val="48"/>
        </w:rPr>
      </w:pPr>
    </w:p>
    <w:p w:rsidR="002A6471" w:rsidRDefault="00AA41DA" w:rsidP="005F05E9">
      <w:pPr>
        <w:rPr>
          <w:b/>
          <w:color w:val="0070C0"/>
          <w:sz w:val="48"/>
          <w:szCs w:val="48"/>
        </w:rPr>
      </w:pPr>
      <w:r>
        <w:rPr>
          <w:b/>
          <w:noProof/>
          <w:color w:val="0070C0"/>
          <w:sz w:val="48"/>
          <w:szCs w:val="48"/>
          <w:lang w:bidi="ar-SA"/>
        </w:rPr>
        <mc:AlternateContent>
          <mc:Choice Requires="wps">
            <w:drawing>
              <wp:anchor distT="0" distB="0" distL="114295" distR="114295" simplePos="0" relativeHeight="251658240" behindDoc="0" locked="0" layoutInCell="1" allowOverlap="1">
                <wp:simplePos x="0" y="0"/>
                <wp:positionH relativeFrom="column">
                  <wp:posOffset>-95251</wp:posOffset>
                </wp:positionH>
                <wp:positionV relativeFrom="paragraph">
                  <wp:posOffset>478155</wp:posOffset>
                </wp:positionV>
                <wp:extent cx="0" cy="1732280"/>
                <wp:effectExtent l="19050" t="0" r="19050" b="12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228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37.65pt;width:0;height:136.4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" strokecolor="#0070c0" strokeweight="2.25pt"/>
            </w:pict>
          </mc:Fallback>
        </mc:AlternateContent>
      </w:r>
    </w:p>
    <w:p w:rsidR="00665ECF" w:rsidRPr="005F05E9" w:rsidRDefault="005F05E9" w:rsidP="005F05E9">
      <w:pPr>
        <w:rPr>
          <w:b/>
          <w:color w:val="0070C0"/>
          <w:sz w:val="48"/>
          <w:szCs w:val="48"/>
        </w:rPr>
      </w:pPr>
      <w:r w:rsidRPr="005F05E9">
        <w:rPr>
          <w:b/>
          <w:color w:val="0070C0"/>
          <w:sz w:val="48"/>
          <w:szCs w:val="48"/>
        </w:rPr>
        <w:t>The Healthcare Payments Hub: A New Paradigm for Funds and Data Transfers in Healthcare</w:t>
      </w:r>
    </w:p>
    <w:p w:rsidR="005F05E9" w:rsidRPr="005F05E9" w:rsidRDefault="005F05E9" w:rsidP="005F05E9">
      <w:pPr>
        <w:spacing w:after="0" w:line="240" w:lineRule="auto"/>
        <w:rPr>
          <w:i/>
          <w:sz w:val="28"/>
          <w:szCs w:val="28"/>
        </w:rPr>
      </w:pPr>
      <w:r w:rsidRPr="005F05E9">
        <w:rPr>
          <w:i/>
          <w:sz w:val="28"/>
          <w:szCs w:val="28"/>
        </w:rPr>
        <w:t>HIMSS World Bank Task Force</w:t>
      </w:r>
    </w:p>
    <w:p w:rsidR="005F05E9" w:rsidRPr="005F05E9" w:rsidRDefault="00AB531A" w:rsidP="005F05E9">
      <w:pPr>
        <w:spacing w:after="0" w:line="240" w:lineRule="auto"/>
        <w:rPr>
          <w:i/>
          <w:sz w:val="28"/>
          <w:szCs w:val="28"/>
        </w:rPr>
      </w:pPr>
      <w:r>
        <w:rPr>
          <w:i/>
          <w:sz w:val="28"/>
          <w:szCs w:val="28"/>
        </w:rPr>
        <w:t>January 2013</w:t>
      </w:r>
    </w:p>
    <w:p w:rsidR="0088666D" w:rsidRPr="00584FC7" w:rsidRDefault="0088666D" w:rsidP="005F05E9"/>
    <w:p w:rsidR="0088666D" w:rsidRPr="00584FC7" w:rsidRDefault="0088666D" w:rsidP="00EF75BB">
      <w:pPr>
        <w:pStyle w:val="TitleBook"/>
        <w:spacing w:line="240" w:lineRule="auto"/>
        <w:jc w:val="both"/>
        <w:rPr>
          <w:rFonts w:cs="Tahoma"/>
          <w:strike/>
          <w:sz w:val="40"/>
          <w:szCs w:val="40"/>
        </w:rPr>
      </w:pPr>
    </w:p>
    <w:p w:rsidR="005401E2" w:rsidRDefault="005401E2">
      <w:pPr>
        <w:rPr>
          <w:rFonts w:cs="Tahoma"/>
          <w:color w:val="000000"/>
          <w:spacing w:val="-20"/>
          <w:sz w:val="40"/>
          <w:szCs w:val="40"/>
        </w:rPr>
      </w:pPr>
      <w:r>
        <w:rPr>
          <w:rFonts w:cs="Tahoma"/>
          <w:sz w:val="40"/>
          <w:szCs w:val="40"/>
        </w:rPr>
        <w:br w:type="page"/>
      </w:r>
    </w:p>
    <w:sdt>
      <w:sdtPr>
        <w:rPr>
          <w:caps w:val="0"/>
          <w:color w:val="auto"/>
          <w:spacing w:val="0"/>
          <w:sz w:val="22"/>
          <w:szCs w:val="22"/>
        </w:rPr>
        <w:id w:val="221976491"/>
        <w:docPartObj>
          <w:docPartGallery w:val="Table of Contents"/>
          <w:docPartUnique/>
        </w:docPartObj>
      </w:sdtPr>
      <w:sdtContent>
        <w:p w:rsidR="005401E2" w:rsidRDefault="005401E2">
          <w:pPr>
            <w:pStyle w:val="TOCHeading"/>
          </w:pPr>
          <w:r>
            <w:t>Contents</w:t>
          </w:r>
        </w:p>
        <w:p w:rsidR="007B3631" w:rsidRDefault="004318ED">
          <w:pPr>
            <w:pStyle w:val="TOC1"/>
            <w:rPr>
              <w:rFonts w:asciiTheme="minorHAnsi" w:eastAsiaTheme="minorEastAsia" w:hAnsiTheme="minorHAnsi" w:cstheme="minorBidi"/>
              <w:caps w:val="0"/>
              <w:sz w:val="22"/>
              <w:szCs w:val="22"/>
              <w:lang w:bidi="ar-SA"/>
            </w:rPr>
          </w:pPr>
          <w:r>
            <w:fldChar w:fldCharType="begin"/>
          </w:r>
          <w:r w:rsidR="005401E2">
            <w:instrText xml:space="preserve"> TOC \o "1-3" \h \z \u </w:instrText>
          </w:r>
          <w:r>
            <w:fldChar w:fldCharType="separate"/>
          </w:r>
          <w:hyperlink w:anchor="_Toc345348374" w:history="1">
            <w:r w:rsidR="007B3631" w:rsidRPr="00641802">
              <w:rPr>
                <w:rStyle w:val="Hyperlink"/>
              </w:rPr>
              <w:t>Executive Summary</w:t>
            </w:r>
            <w:r w:rsidR="007B3631">
              <w:rPr>
                <w:webHidden/>
              </w:rPr>
              <w:tab/>
            </w:r>
            <w:r>
              <w:rPr>
                <w:webHidden/>
              </w:rPr>
              <w:fldChar w:fldCharType="begin"/>
            </w:r>
            <w:r w:rsidR="007B3631">
              <w:rPr>
                <w:webHidden/>
              </w:rPr>
              <w:instrText xml:space="preserve"> PAGEREF _Toc345348374 \h </w:instrText>
            </w:r>
            <w:r>
              <w:rPr>
                <w:webHidden/>
              </w:rPr>
            </w:r>
            <w:r>
              <w:rPr>
                <w:webHidden/>
              </w:rPr>
              <w:fldChar w:fldCharType="separate"/>
            </w:r>
            <w:r w:rsidR="007B3631">
              <w:rPr>
                <w:webHidden/>
              </w:rPr>
              <w:t>4</w:t>
            </w:r>
            <w:r>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75" w:history="1">
            <w:r w:rsidR="007B3631" w:rsidRPr="00641802">
              <w:rPr>
                <w:rStyle w:val="Hyperlink"/>
              </w:rPr>
              <w:t>Opportunity</w:t>
            </w:r>
            <w:r w:rsidR="007B3631">
              <w:rPr>
                <w:webHidden/>
              </w:rPr>
              <w:tab/>
            </w:r>
            <w:r w:rsidR="004318ED">
              <w:rPr>
                <w:webHidden/>
              </w:rPr>
              <w:fldChar w:fldCharType="begin"/>
            </w:r>
            <w:r w:rsidR="007B3631">
              <w:rPr>
                <w:webHidden/>
              </w:rPr>
              <w:instrText xml:space="preserve"> PAGEREF _Toc345348375 \h </w:instrText>
            </w:r>
            <w:r w:rsidR="004318ED">
              <w:rPr>
                <w:webHidden/>
              </w:rPr>
            </w:r>
            <w:r w:rsidR="004318ED">
              <w:rPr>
                <w:webHidden/>
              </w:rPr>
              <w:fldChar w:fldCharType="separate"/>
            </w:r>
            <w:r w:rsidR="007B3631">
              <w:rPr>
                <w:webHidden/>
              </w:rPr>
              <w:t>4</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76" w:history="1">
            <w:r w:rsidR="007B3631" w:rsidRPr="00641802">
              <w:rPr>
                <w:rStyle w:val="Hyperlink"/>
              </w:rPr>
              <w:t>Background</w:t>
            </w:r>
            <w:r w:rsidR="007B3631">
              <w:rPr>
                <w:webHidden/>
              </w:rPr>
              <w:tab/>
            </w:r>
            <w:r w:rsidR="004318ED">
              <w:rPr>
                <w:webHidden/>
              </w:rPr>
              <w:fldChar w:fldCharType="begin"/>
            </w:r>
            <w:r w:rsidR="007B3631">
              <w:rPr>
                <w:webHidden/>
              </w:rPr>
              <w:instrText xml:space="preserve"> PAGEREF _Toc345348376 \h </w:instrText>
            </w:r>
            <w:r w:rsidR="004318ED">
              <w:rPr>
                <w:webHidden/>
              </w:rPr>
            </w:r>
            <w:r w:rsidR="004318ED">
              <w:rPr>
                <w:webHidden/>
              </w:rPr>
              <w:fldChar w:fldCharType="separate"/>
            </w:r>
            <w:r w:rsidR="007B3631">
              <w:rPr>
                <w:webHidden/>
              </w:rPr>
              <w:t>4</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77" w:history="1">
            <w:r w:rsidR="007B3631" w:rsidRPr="00641802">
              <w:rPr>
                <w:rStyle w:val="Hyperlink"/>
              </w:rPr>
              <w:t>Current Situation</w:t>
            </w:r>
            <w:r w:rsidR="007B3631">
              <w:rPr>
                <w:webHidden/>
              </w:rPr>
              <w:tab/>
            </w:r>
            <w:r w:rsidR="004318ED">
              <w:rPr>
                <w:webHidden/>
              </w:rPr>
              <w:fldChar w:fldCharType="begin"/>
            </w:r>
            <w:r w:rsidR="007B3631">
              <w:rPr>
                <w:webHidden/>
              </w:rPr>
              <w:instrText xml:space="preserve"> PAGEREF _Toc345348377 \h </w:instrText>
            </w:r>
            <w:r w:rsidR="004318ED">
              <w:rPr>
                <w:webHidden/>
              </w:rPr>
            </w:r>
            <w:r w:rsidR="004318ED">
              <w:rPr>
                <w:webHidden/>
              </w:rPr>
              <w:fldChar w:fldCharType="separate"/>
            </w:r>
            <w:r w:rsidR="007B3631">
              <w:rPr>
                <w:webHidden/>
              </w:rPr>
              <w:t>4</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78" w:history="1">
            <w:r w:rsidR="007B3631" w:rsidRPr="00641802">
              <w:rPr>
                <w:rStyle w:val="Hyperlink"/>
              </w:rPr>
              <w:t>Recommendation</w:t>
            </w:r>
            <w:r w:rsidR="007B3631">
              <w:rPr>
                <w:webHidden/>
              </w:rPr>
              <w:tab/>
            </w:r>
            <w:r w:rsidR="004318ED">
              <w:rPr>
                <w:webHidden/>
              </w:rPr>
              <w:fldChar w:fldCharType="begin"/>
            </w:r>
            <w:r w:rsidR="007B3631">
              <w:rPr>
                <w:webHidden/>
              </w:rPr>
              <w:instrText xml:space="preserve"> PAGEREF _Toc345348378 \h </w:instrText>
            </w:r>
            <w:r w:rsidR="004318ED">
              <w:rPr>
                <w:webHidden/>
              </w:rPr>
            </w:r>
            <w:r w:rsidR="004318ED">
              <w:rPr>
                <w:webHidden/>
              </w:rPr>
              <w:fldChar w:fldCharType="separate"/>
            </w:r>
            <w:r w:rsidR="007B3631">
              <w:rPr>
                <w:webHidden/>
              </w:rPr>
              <w:t>5</w:t>
            </w:r>
            <w:r w:rsidR="004318ED">
              <w:rPr>
                <w:webHidden/>
              </w:rPr>
              <w:fldChar w:fldCharType="end"/>
            </w:r>
          </w:hyperlink>
        </w:p>
        <w:p w:rsidR="007B3631" w:rsidRDefault="005406CD">
          <w:pPr>
            <w:pStyle w:val="TOC1"/>
            <w:rPr>
              <w:rFonts w:asciiTheme="minorHAnsi" w:eastAsiaTheme="minorEastAsia" w:hAnsiTheme="minorHAnsi" w:cstheme="minorBidi"/>
              <w:caps w:val="0"/>
              <w:sz w:val="22"/>
              <w:szCs w:val="22"/>
              <w:lang w:bidi="ar-SA"/>
            </w:rPr>
          </w:pPr>
          <w:hyperlink w:anchor="_Toc345348379" w:history="1">
            <w:r w:rsidR="007B3631" w:rsidRPr="00641802">
              <w:rPr>
                <w:rStyle w:val="Hyperlink"/>
              </w:rPr>
              <w:t>Opportunity</w:t>
            </w:r>
            <w:r w:rsidR="007B3631">
              <w:rPr>
                <w:webHidden/>
              </w:rPr>
              <w:tab/>
            </w:r>
            <w:r w:rsidR="004318ED">
              <w:rPr>
                <w:webHidden/>
              </w:rPr>
              <w:fldChar w:fldCharType="begin"/>
            </w:r>
            <w:r w:rsidR="007B3631">
              <w:rPr>
                <w:webHidden/>
              </w:rPr>
              <w:instrText xml:space="preserve"> PAGEREF _Toc345348379 \h </w:instrText>
            </w:r>
            <w:r w:rsidR="004318ED">
              <w:rPr>
                <w:webHidden/>
              </w:rPr>
            </w:r>
            <w:r w:rsidR="004318ED">
              <w:rPr>
                <w:webHidden/>
              </w:rPr>
              <w:fldChar w:fldCharType="separate"/>
            </w:r>
            <w:r w:rsidR="007B3631">
              <w:rPr>
                <w:webHidden/>
              </w:rPr>
              <w:t>6</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80" w:history="1">
            <w:r w:rsidR="007B3631" w:rsidRPr="00641802">
              <w:rPr>
                <w:rStyle w:val="Hyperlink"/>
              </w:rPr>
              <w:t>Market Drivers</w:t>
            </w:r>
            <w:r w:rsidR="007B3631">
              <w:rPr>
                <w:webHidden/>
              </w:rPr>
              <w:tab/>
            </w:r>
            <w:r w:rsidR="004318ED">
              <w:rPr>
                <w:webHidden/>
              </w:rPr>
              <w:fldChar w:fldCharType="begin"/>
            </w:r>
            <w:r w:rsidR="007B3631">
              <w:rPr>
                <w:webHidden/>
              </w:rPr>
              <w:instrText xml:space="preserve"> PAGEREF _Toc345348380 \h </w:instrText>
            </w:r>
            <w:r w:rsidR="004318ED">
              <w:rPr>
                <w:webHidden/>
              </w:rPr>
            </w:r>
            <w:r w:rsidR="004318ED">
              <w:rPr>
                <w:webHidden/>
              </w:rPr>
              <w:fldChar w:fldCharType="separate"/>
            </w:r>
            <w:r w:rsidR="007B3631">
              <w:rPr>
                <w:webHidden/>
              </w:rPr>
              <w:t>6</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81" w:history="1">
            <w:r w:rsidR="007B3631" w:rsidRPr="00641802">
              <w:rPr>
                <w:rStyle w:val="Hyperlink"/>
              </w:rPr>
              <w:t>Key Solution Principles</w:t>
            </w:r>
            <w:r w:rsidR="007B3631">
              <w:rPr>
                <w:webHidden/>
              </w:rPr>
              <w:tab/>
            </w:r>
            <w:r w:rsidR="004318ED">
              <w:rPr>
                <w:webHidden/>
              </w:rPr>
              <w:fldChar w:fldCharType="begin"/>
            </w:r>
            <w:r w:rsidR="007B3631">
              <w:rPr>
                <w:webHidden/>
              </w:rPr>
              <w:instrText xml:space="preserve"> PAGEREF _Toc345348381 \h </w:instrText>
            </w:r>
            <w:r w:rsidR="004318ED">
              <w:rPr>
                <w:webHidden/>
              </w:rPr>
            </w:r>
            <w:r w:rsidR="004318ED">
              <w:rPr>
                <w:webHidden/>
              </w:rPr>
              <w:fldChar w:fldCharType="separate"/>
            </w:r>
            <w:r w:rsidR="007B3631">
              <w:rPr>
                <w:webHidden/>
              </w:rPr>
              <w:t>7</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82" w:history="1">
            <w:r w:rsidR="007B3631" w:rsidRPr="00641802">
              <w:rPr>
                <w:rStyle w:val="Hyperlink"/>
              </w:rPr>
              <w:t>HealthCare PaymentsHub – Concept</w:t>
            </w:r>
            <w:r w:rsidR="007B3631">
              <w:rPr>
                <w:webHidden/>
              </w:rPr>
              <w:tab/>
            </w:r>
            <w:r w:rsidR="004318ED">
              <w:rPr>
                <w:webHidden/>
              </w:rPr>
              <w:fldChar w:fldCharType="begin"/>
            </w:r>
            <w:r w:rsidR="007B3631">
              <w:rPr>
                <w:webHidden/>
              </w:rPr>
              <w:instrText xml:space="preserve"> PAGEREF _Toc345348382 \h </w:instrText>
            </w:r>
            <w:r w:rsidR="004318ED">
              <w:rPr>
                <w:webHidden/>
              </w:rPr>
            </w:r>
            <w:r w:rsidR="004318ED">
              <w:rPr>
                <w:webHidden/>
              </w:rPr>
              <w:fldChar w:fldCharType="separate"/>
            </w:r>
            <w:r w:rsidR="007B3631">
              <w:rPr>
                <w:webHidden/>
              </w:rPr>
              <w:t>7</w:t>
            </w:r>
            <w:r w:rsidR="004318ED">
              <w:rPr>
                <w:webHidden/>
              </w:rPr>
              <w:fldChar w:fldCharType="end"/>
            </w:r>
          </w:hyperlink>
        </w:p>
        <w:p w:rsidR="007B3631" w:rsidRDefault="005406CD">
          <w:pPr>
            <w:pStyle w:val="TOC1"/>
            <w:rPr>
              <w:rFonts w:asciiTheme="minorHAnsi" w:eastAsiaTheme="minorEastAsia" w:hAnsiTheme="minorHAnsi" w:cstheme="minorBidi"/>
              <w:caps w:val="0"/>
              <w:sz w:val="22"/>
              <w:szCs w:val="22"/>
              <w:lang w:bidi="ar-SA"/>
            </w:rPr>
          </w:pPr>
          <w:hyperlink w:anchor="_Toc345348383" w:history="1">
            <w:r w:rsidR="007B3631" w:rsidRPr="00641802">
              <w:rPr>
                <w:rStyle w:val="Hyperlink"/>
              </w:rPr>
              <w:t>Background</w:t>
            </w:r>
            <w:r w:rsidR="007B3631">
              <w:rPr>
                <w:webHidden/>
              </w:rPr>
              <w:tab/>
            </w:r>
            <w:r w:rsidR="004318ED">
              <w:rPr>
                <w:webHidden/>
              </w:rPr>
              <w:fldChar w:fldCharType="begin"/>
            </w:r>
            <w:r w:rsidR="007B3631">
              <w:rPr>
                <w:webHidden/>
              </w:rPr>
              <w:instrText xml:space="preserve"> PAGEREF _Toc345348383 \h </w:instrText>
            </w:r>
            <w:r w:rsidR="004318ED">
              <w:rPr>
                <w:webHidden/>
              </w:rPr>
            </w:r>
            <w:r w:rsidR="004318ED">
              <w:rPr>
                <w:webHidden/>
              </w:rPr>
              <w:fldChar w:fldCharType="separate"/>
            </w:r>
            <w:r w:rsidR="007B3631">
              <w:rPr>
                <w:webHidden/>
              </w:rPr>
              <w:t>8</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84" w:history="1">
            <w:r w:rsidR="007B3631" w:rsidRPr="00641802">
              <w:rPr>
                <w:rStyle w:val="Hyperlink"/>
              </w:rPr>
              <w:t>Complex Connectivity</w:t>
            </w:r>
            <w:r w:rsidR="007B3631">
              <w:rPr>
                <w:webHidden/>
              </w:rPr>
              <w:tab/>
            </w:r>
            <w:r w:rsidR="004318ED">
              <w:rPr>
                <w:webHidden/>
              </w:rPr>
              <w:fldChar w:fldCharType="begin"/>
            </w:r>
            <w:r w:rsidR="007B3631">
              <w:rPr>
                <w:webHidden/>
              </w:rPr>
              <w:instrText xml:space="preserve"> PAGEREF _Toc345348384 \h </w:instrText>
            </w:r>
            <w:r w:rsidR="004318ED">
              <w:rPr>
                <w:webHidden/>
              </w:rPr>
            </w:r>
            <w:r w:rsidR="004318ED">
              <w:rPr>
                <w:webHidden/>
              </w:rPr>
              <w:fldChar w:fldCharType="separate"/>
            </w:r>
            <w:r w:rsidR="007B3631">
              <w:rPr>
                <w:webHidden/>
              </w:rPr>
              <w:t>9</w:t>
            </w:r>
            <w:r w:rsidR="004318ED">
              <w:rPr>
                <w:webHidden/>
              </w:rPr>
              <w:fldChar w:fldCharType="end"/>
            </w:r>
          </w:hyperlink>
        </w:p>
        <w:p w:rsidR="007B3631" w:rsidRDefault="005406CD">
          <w:pPr>
            <w:pStyle w:val="TOC1"/>
            <w:rPr>
              <w:rFonts w:asciiTheme="minorHAnsi" w:eastAsiaTheme="minorEastAsia" w:hAnsiTheme="minorHAnsi" w:cstheme="minorBidi"/>
              <w:caps w:val="0"/>
              <w:sz w:val="22"/>
              <w:szCs w:val="22"/>
              <w:lang w:bidi="ar-SA"/>
            </w:rPr>
          </w:pPr>
          <w:hyperlink w:anchor="_Toc345348385" w:history="1">
            <w:r w:rsidR="007B3631" w:rsidRPr="00641802">
              <w:rPr>
                <w:rStyle w:val="Hyperlink"/>
              </w:rPr>
              <w:t>Current Situation</w:t>
            </w:r>
            <w:r w:rsidR="007B3631">
              <w:rPr>
                <w:webHidden/>
              </w:rPr>
              <w:tab/>
            </w:r>
            <w:r w:rsidR="004318ED">
              <w:rPr>
                <w:webHidden/>
              </w:rPr>
              <w:fldChar w:fldCharType="begin"/>
            </w:r>
            <w:r w:rsidR="007B3631">
              <w:rPr>
                <w:webHidden/>
              </w:rPr>
              <w:instrText xml:space="preserve"> PAGEREF _Toc345348385 \h </w:instrText>
            </w:r>
            <w:r w:rsidR="004318ED">
              <w:rPr>
                <w:webHidden/>
              </w:rPr>
            </w:r>
            <w:r w:rsidR="004318ED">
              <w:rPr>
                <w:webHidden/>
              </w:rPr>
              <w:fldChar w:fldCharType="separate"/>
            </w:r>
            <w:r w:rsidR="007B3631">
              <w:rPr>
                <w:webHidden/>
              </w:rPr>
              <w:t>10</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86" w:history="1">
            <w:r w:rsidR="007B3631" w:rsidRPr="00641802">
              <w:rPr>
                <w:rStyle w:val="Hyperlink"/>
              </w:rPr>
              <w:t>Overview of Current Claims Processes</w:t>
            </w:r>
            <w:r w:rsidR="007B3631">
              <w:rPr>
                <w:webHidden/>
              </w:rPr>
              <w:tab/>
            </w:r>
            <w:r w:rsidR="004318ED">
              <w:rPr>
                <w:webHidden/>
              </w:rPr>
              <w:fldChar w:fldCharType="begin"/>
            </w:r>
            <w:r w:rsidR="007B3631">
              <w:rPr>
                <w:webHidden/>
              </w:rPr>
              <w:instrText xml:space="preserve"> PAGEREF _Toc345348386 \h </w:instrText>
            </w:r>
            <w:r w:rsidR="004318ED">
              <w:rPr>
                <w:webHidden/>
              </w:rPr>
            </w:r>
            <w:r w:rsidR="004318ED">
              <w:rPr>
                <w:webHidden/>
              </w:rPr>
              <w:fldChar w:fldCharType="separate"/>
            </w:r>
            <w:r w:rsidR="007B3631">
              <w:rPr>
                <w:webHidden/>
              </w:rPr>
              <w:t>10</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87" w:history="1">
            <w:r w:rsidR="007B3631" w:rsidRPr="00641802">
              <w:rPr>
                <w:rStyle w:val="Hyperlink"/>
              </w:rPr>
              <w:t>Emerging Role of NCVHS in Healthcare Payments</w:t>
            </w:r>
            <w:r w:rsidR="007B3631">
              <w:rPr>
                <w:webHidden/>
              </w:rPr>
              <w:tab/>
            </w:r>
            <w:r w:rsidR="004318ED">
              <w:rPr>
                <w:webHidden/>
              </w:rPr>
              <w:fldChar w:fldCharType="begin"/>
            </w:r>
            <w:r w:rsidR="007B3631">
              <w:rPr>
                <w:webHidden/>
              </w:rPr>
              <w:instrText xml:space="preserve"> PAGEREF _Toc345348387 \h </w:instrText>
            </w:r>
            <w:r w:rsidR="004318ED">
              <w:rPr>
                <w:webHidden/>
              </w:rPr>
            </w:r>
            <w:r w:rsidR="004318ED">
              <w:rPr>
                <w:webHidden/>
              </w:rPr>
              <w:fldChar w:fldCharType="separate"/>
            </w:r>
            <w:r w:rsidR="007B3631">
              <w:rPr>
                <w:webHidden/>
              </w:rPr>
              <w:t>12</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88" w:history="1">
            <w:r w:rsidR="007B3631" w:rsidRPr="00641802">
              <w:rPr>
                <w:rStyle w:val="Hyperlink"/>
              </w:rPr>
              <w:t>Operating Rules</w:t>
            </w:r>
            <w:r w:rsidR="007B3631">
              <w:rPr>
                <w:webHidden/>
              </w:rPr>
              <w:tab/>
            </w:r>
            <w:r w:rsidR="004318ED">
              <w:rPr>
                <w:webHidden/>
              </w:rPr>
              <w:fldChar w:fldCharType="begin"/>
            </w:r>
            <w:r w:rsidR="007B3631">
              <w:rPr>
                <w:webHidden/>
              </w:rPr>
              <w:instrText xml:space="preserve"> PAGEREF _Toc345348388 \h </w:instrText>
            </w:r>
            <w:r w:rsidR="004318ED">
              <w:rPr>
                <w:webHidden/>
              </w:rPr>
            </w:r>
            <w:r w:rsidR="004318ED">
              <w:rPr>
                <w:webHidden/>
              </w:rPr>
              <w:fldChar w:fldCharType="separate"/>
            </w:r>
            <w:r w:rsidR="007B3631">
              <w:rPr>
                <w:webHidden/>
              </w:rPr>
              <w:t>13</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89" w:history="1">
            <w:r w:rsidR="007B3631" w:rsidRPr="00641802">
              <w:rPr>
                <w:rStyle w:val="Hyperlink"/>
              </w:rPr>
              <w:t>Straight Through Processing</w:t>
            </w:r>
            <w:r w:rsidR="007B3631">
              <w:rPr>
                <w:webHidden/>
              </w:rPr>
              <w:tab/>
            </w:r>
            <w:r w:rsidR="004318ED">
              <w:rPr>
                <w:webHidden/>
              </w:rPr>
              <w:fldChar w:fldCharType="begin"/>
            </w:r>
            <w:r w:rsidR="007B3631">
              <w:rPr>
                <w:webHidden/>
              </w:rPr>
              <w:instrText xml:space="preserve"> PAGEREF _Toc345348389 \h </w:instrText>
            </w:r>
            <w:r w:rsidR="004318ED">
              <w:rPr>
                <w:webHidden/>
              </w:rPr>
            </w:r>
            <w:r w:rsidR="004318ED">
              <w:rPr>
                <w:webHidden/>
              </w:rPr>
              <w:fldChar w:fldCharType="separate"/>
            </w:r>
            <w:r w:rsidR="007B3631">
              <w:rPr>
                <w:webHidden/>
              </w:rPr>
              <w:t>13</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90" w:history="1">
            <w:r w:rsidR="007B3631" w:rsidRPr="00641802">
              <w:rPr>
                <w:rStyle w:val="Hyperlink"/>
              </w:rPr>
              <w:t>Market Opportunity</w:t>
            </w:r>
            <w:r w:rsidR="007B3631">
              <w:rPr>
                <w:webHidden/>
              </w:rPr>
              <w:tab/>
            </w:r>
            <w:r w:rsidR="004318ED">
              <w:rPr>
                <w:webHidden/>
              </w:rPr>
              <w:fldChar w:fldCharType="begin"/>
            </w:r>
            <w:r w:rsidR="007B3631">
              <w:rPr>
                <w:webHidden/>
              </w:rPr>
              <w:instrText xml:space="preserve"> PAGEREF _Toc345348390 \h </w:instrText>
            </w:r>
            <w:r w:rsidR="004318ED">
              <w:rPr>
                <w:webHidden/>
              </w:rPr>
            </w:r>
            <w:r w:rsidR="004318ED">
              <w:rPr>
                <w:webHidden/>
              </w:rPr>
              <w:fldChar w:fldCharType="separate"/>
            </w:r>
            <w:r w:rsidR="007B3631">
              <w:rPr>
                <w:webHidden/>
              </w:rPr>
              <w:t>14</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91" w:history="1">
            <w:r w:rsidR="007B3631" w:rsidRPr="00641802">
              <w:rPr>
                <w:rStyle w:val="Hyperlink"/>
              </w:rPr>
              <w:t>Paradigm Shift</w:t>
            </w:r>
            <w:r w:rsidR="007B3631">
              <w:rPr>
                <w:webHidden/>
              </w:rPr>
              <w:tab/>
            </w:r>
            <w:r w:rsidR="004318ED">
              <w:rPr>
                <w:webHidden/>
              </w:rPr>
              <w:fldChar w:fldCharType="begin"/>
            </w:r>
            <w:r w:rsidR="007B3631">
              <w:rPr>
                <w:webHidden/>
              </w:rPr>
              <w:instrText xml:space="preserve"> PAGEREF _Toc345348391 \h </w:instrText>
            </w:r>
            <w:r w:rsidR="004318ED">
              <w:rPr>
                <w:webHidden/>
              </w:rPr>
            </w:r>
            <w:r w:rsidR="004318ED">
              <w:rPr>
                <w:webHidden/>
              </w:rPr>
              <w:fldChar w:fldCharType="separate"/>
            </w:r>
            <w:r w:rsidR="007B3631">
              <w:rPr>
                <w:webHidden/>
              </w:rPr>
              <w:t>15</w:t>
            </w:r>
            <w:r w:rsidR="004318ED">
              <w:rPr>
                <w:webHidden/>
              </w:rPr>
              <w:fldChar w:fldCharType="end"/>
            </w:r>
          </w:hyperlink>
        </w:p>
        <w:p w:rsidR="007B3631" w:rsidRDefault="005406CD">
          <w:pPr>
            <w:pStyle w:val="TOC1"/>
            <w:rPr>
              <w:rFonts w:asciiTheme="minorHAnsi" w:eastAsiaTheme="minorEastAsia" w:hAnsiTheme="minorHAnsi" w:cstheme="minorBidi"/>
              <w:caps w:val="0"/>
              <w:sz w:val="22"/>
              <w:szCs w:val="22"/>
              <w:lang w:bidi="ar-SA"/>
            </w:rPr>
          </w:pPr>
          <w:hyperlink w:anchor="_Toc345348392" w:history="1">
            <w:r w:rsidR="007B3631" w:rsidRPr="00641802">
              <w:rPr>
                <w:rStyle w:val="Hyperlink"/>
              </w:rPr>
              <w:t>Recommendation</w:t>
            </w:r>
            <w:r w:rsidR="007B3631">
              <w:rPr>
                <w:webHidden/>
              </w:rPr>
              <w:tab/>
            </w:r>
            <w:r w:rsidR="004318ED">
              <w:rPr>
                <w:webHidden/>
              </w:rPr>
              <w:fldChar w:fldCharType="begin"/>
            </w:r>
            <w:r w:rsidR="007B3631">
              <w:rPr>
                <w:webHidden/>
              </w:rPr>
              <w:instrText xml:space="preserve"> PAGEREF _Toc345348392 \h </w:instrText>
            </w:r>
            <w:r w:rsidR="004318ED">
              <w:rPr>
                <w:webHidden/>
              </w:rPr>
            </w:r>
            <w:r w:rsidR="004318ED">
              <w:rPr>
                <w:webHidden/>
              </w:rPr>
              <w:fldChar w:fldCharType="separate"/>
            </w:r>
            <w:r w:rsidR="007B3631">
              <w:rPr>
                <w:webHidden/>
              </w:rPr>
              <w:t>17</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93" w:history="1">
            <w:r w:rsidR="007B3631" w:rsidRPr="00641802">
              <w:rPr>
                <w:rStyle w:val="Hyperlink"/>
              </w:rPr>
              <w:t>A Demonstration Design</w:t>
            </w:r>
            <w:r w:rsidR="007B3631">
              <w:rPr>
                <w:webHidden/>
              </w:rPr>
              <w:tab/>
            </w:r>
            <w:r w:rsidR="004318ED">
              <w:rPr>
                <w:webHidden/>
              </w:rPr>
              <w:fldChar w:fldCharType="begin"/>
            </w:r>
            <w:r w:rsidR="007B3631">
              <w:rPr>
                <w:webHidden/>
              </w:rPr>
              <w:instrText xml:space="preserve"> PAGEREF _Toc345348393 \h </w:instrText>
            </w:r>
            <w:r w:rsidR="004318ED">
              <w:rPr>
                <w:webHidden/>
              </w:rPr>
            </w:r>
            <w:r w:rsidR="004318ED">
              <w:rPr>
                <w:webHidden/>
              </w:rPr>
              <w:fldChar w:fldCharType="separate"/>
            </w:r>
            <w:r w:rsidR="007B3631">
              <w:rPr>
                <w:webHidden/>
              </w:rPr>
              <w:t>17</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94" w:history="1">
            <w:r w:rsidR="007B3631" w:rsidRPr="00641802">
              <w:rPr>
                <w:rStyle w:val="Hyperlink"/>
              </w:rPr>
              <w:t>STP Example</w:t>
            </w:r>
            <w:r w:rsidR="007B3631">
              <w:rPr>
                <w:webHidden/>
              </w:rPr>
              <w:tab/>
            </w:r>
            <w:r w:rsidR="004318ED">
              <w:rPr>
                <w:webHidden/>
              </w:rPr>
              <w:fldChar w:fldCharType="begin"/>
            </w:r>
            <w:r w:rsidR="007B3631">
              <w:rPr>
                <w:webHidden/>
              </w:rPr>
              <w:instrText xml:space="preserve"> PAGEREF _Toc345348394 \h </w:instrText>
            </w:r>
            <w:r w:rsidR="004318ED">
              <w:rPr>
                <w:webHidden/>
              </w:rPr>
            </w:r>
            <w:r w:rsidR="004318ED">
              <w:rPr>
                <w:webHidden/>
              </w:rPr>
              <w:fldChar w:fldCharType="separate"/>
            </w:r>
            <w:r w:rsidR="007B3631">
              <w:rPr>
                <w:webHidden/>
              </w:rPr>
              <w:t>18</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395" w:history="1">
            <w:r w:rsidR="007B3631" w:rsidRPr="00641802">
              <w:rPr>
                <w:rStyle w:val="Hyperlink"/>
              </w:rPr>
              <w:t>Pilot Program</w:t>
            </w:r>
            <w:r w:rsidR="007B3631">
              <w:rPr>
                <w:webHidden/>
              </w:rPr>
              <w:tab/>
            </w:r>
            <w:r w:rsidR="004318ED">
              <w:rPr>
                <w:webHidden/>
              </w:rPr>
              <w:fldChar w:fldCharType="begin"/>
            </w:r>
            <w:r w:rsidR="007B3631">
              <w:rPr>
                <w:webHidden/>
              </w:rPr>
              <w:instrText xml:space="preserve"> PAGEREF _Toc345348395 \h </w:instrText>
            </w:r>
            <w:r w:rsidR="004318ED">
              <w:rPr>
                <w:webHidden/>
              </w:rPr>
            </w:r>
            <w:r w:rsidR="004318ED">
              <w:rPr>
                <w:webHidden/>
              </w:rPr>
              <w:fldChar w:fldCharType="separate"/>
            </w:r>
            <w:r w:rsidR="007B3631">
              <w:rPr>
                <w:webHidden/>
              </w:rPr>
              <w:t>18</w:t>
            </w:r>
            <w:r w:rsidR="004318ED">
              <w:rPr>
                <w:webHidden/>
              </w:rPr>
              <w:fldChar w:fldCharType="end"/>
            </w:r>
          </w:hyperlink>
        </w:p>
        <w:p w:rsidR="007B3631" w:rsidRDefault="005406CD">
          <w:pPr>
            <w:pStyle w:val="TOC3"/>
            <w:rPr>
              <w:rFonts w:asciiTheme="minorHAnsi" w:eastAsiaTheme="minorEastAsia" w:hAnsiTheme="minorHAnsi" w:cstheme="minorBidi"/>
              <w:lang w:bidi="ar-SA"/>
            </w:rPr>
          </w:pPr>
          <w:hyperlink w:anchor="_Toc345348396" w:history="1">
            <w:r w:rsidR="007B3631" w:rsidRPr="00641802">
              <w:rPr>
                <w:rStyle w:val="Hyperlink"/>
              </w:rPr>
              <w:t>Vision Statement for a Pilot Program</w:t>
            </w:r>
            <w:r w:rsidR="007B3631">
              <w:rPr>
                <w:webHidden/>
              </w:rPr>
              <w:tab/>
            </w:r>
            <w:r w:rsidR="004318ED">
              <w:rPr>
                <w:webHidden/>
              </w:rPr>
              <w:fldChar w:fldCharType="begin"/>
            </w:r>
            <w:r w:rsidR="007B3631">
              <w:rPr>
                <w:webHidden/>
              </w:rPr>
              <w:instrText xml:space="preserve"> PAGEREF _Toc345348396 \h </w:instrText>
            </w:r>
            <w:r w:rsidR="004318ED">
              <w:rPr>
                <w:webHidden/>
              </w:rPr>
            </w:r>
            <w:r w:rsidR="004318ED">
              <w:rPr>
                <w:webHidden/>
              </w:rPr>
              <w:fldChar w:fldCharType="separate"/>
            </w:r>
            <w:r w:rsidR="007B3631">
              <w:rPr>
                <w:webHidden/>
              </w:rPr>
              <w:t>18</w:t>
            </w:r>
            <w:r w:rsidR="004318ED">
              <w:rPr>
                <w:webHidden/>
              </w:rPr>
              <w:fldChar w:fldCharType="end"/>
            </w:r>
          </w:hyperlink>
        </w:p>
        <w:p w:rsidR="007B3631" w:rsidRDefault="005406CD">
          <w:pPr>
            <w:pStyle w:val="TOC3"/>
            <w:rPr>
              <w:rFonts w:asciiTheme="minorHAnsi" w:eastAsiaTheme="minorEastAsia" w:hAnsiTheme="minorHAnsi" w:cstheme="minorBidi"/>
              <w:lang w:bidi="ar-SA"/>
            </w:rPr>
          </w:pPr>
          <w:hyperlink w:anchor="_Toc345348397" w:history="1">
            <w:r w:rsidR="007B3631" w:rsidRPr="00641802">
              <w:rPr>
                <w:rStyle w:val="Hyperlink"/>
              </w:rPr>
              <w:t>Examples of Functions within the Healthcare Payments Hub</w:t>
            </w:r>
            <w:r w:rsidR="007B3631">
              <w:rPr>
                <w:webHidden/>
              </w:rPr>
              <w:tab/>
            </w:r>
            <w:r w:rsidR="004318ED">
              <w:rPr>
                <w:webHidden/>
              </w:rPr>
              <w:fldChar w:fldCharType="begin"/>
            </w:r>
            <w:r w:rsidR="007B3631">
              <w:rPr>
                <w:webHidden/>
              </w:rPr>
              <w:instrText xml:space="preserve"> PAGEREF _Toc345348397 \h </w:instrText>
            </w:r>
            <w:r w:rsidR="004318ED">
              <w:rPr>
                <w:webHidden/>
              </w:rPr>
            </w:r>
            <w:r w:rsidR="004318ED">
              <w:rPr>
                <w:webHidden/>
              </w:rPr>
              <w:fldChar w:fldCharType="separate"/>
            </w:r>
            <w:r w:rsidR="007B3631">
              <w:rPr>
                <w:webHidden/>
              </w:rPr>
              <w:t>19</w:t>
            </w:r>
            <w:r w:rsidR="004318ED">
              <w:rPr>
                <w:webHidden/>
              </w:rPr>
              <w:fldChar w:fldCharType="end"/>
            </w:r>
          </w:hyperlink>
        </w:p>
        <w:p w:rsidR="007B3631" w:rsidRDefault="005406CD">
          <w:pPr>
            <w:pStyle w:val="TOC3"/>
            <w:rPr>
              <w:rFonts w:asciiTheme="minorHAnsi" w:eastAsiaTheme="minorEastAsia" w:hAnsiTheme="minorHAnsi" w:cstheme="minorBidi"/>
              <w:lang w:bidi="ar-SA"/>
            </w:rPr>
          </w:pPr>
          <w:hyperlink w:anchor="_Toc345348398" w:history="1">
            <w:r w:rsidR="007B3631" w:rsidRPr="00641802">
              <w:rPr>
                <w:rStyle w:val="Hyperlink"/>
              </w:rPr>
              <w:t>Use Case Summary</w:t>
            </w:r>
            <w:r w:rsidR="007B3631">
              <w:rPr>
                <w:webHidden/>
              </w:rPr>
              <w:tab/>
            </w:r>
            <w:r w:rsidR="004318ED">
              <w:rPr>
                <w:webHidden/>
              </w:rPr>
              <w:fldChar w:fldCharType="begin"/>
            </w:r>
            <w:r w:rsidR="007B3631">
              <w:rPr>
                <w:webHidden/>
              </w:rPr>
              <w:instrText xml:space="preserve"> PAGEREF _Toc345348398 \h </w:instrText>
            </w:r>
            <w:r w:rsidR="004318ED">
              <w:rPr>
                <w:webHidden/>
              </w:rPr>
            </w:r>
            <w:r w:rsidR="004318ED">
              <w:rPr>
                <w:webHidden/>
              </w:rPr>
              <w:fldChar w:fldCharType="separate"/>
            </w:r>
            <w:r w:rsidR="007B3631">
              <w:rPr>
                <w:webHidden/>
              </w:rPr>
              <w:t>19</w:t>
            </w:r>
            <w:r w:rsidR="004318ED">
              <w:rPr>
                <w:webHidden/>
              </w:rPr>
              <w:fldChar w:fldCharType="end"/>
            </w:r>
          </w:hyperlink>
        </w:p>
        <w:p w:rsidR="007B3631" w:rsidRDefault="005406CD">
          <w:pPr>
            <w:pStyle w:val="TOC3"/>
            <w:rPr>
              <w:rFonts w:asciiTheme="minorHAnsi" w:eastAsiaTheme="minorEastAsia" w:hAnsiTheme="minorHAnsi" w:cstheme="minorBidi"/>
              <w:lang w:bidi="ar-SA"/>
            </w:rPr>
          </w:pPr>
          <w:hyperlink w:anchor="_Toc345348399" w:history="1">
            <w:r w:rsidR="007B3631" w:rsidRPr="00641802">
              <w:rPr>
                <w:rStyle w:val="Hyperlink"/>
              </w:rPr>
              <w:t>Approach</w:t>
            </w:r>
            <w:r w:rsidR="007B3631">
              <w:rPr>
                <w:webHidden/>
              </w:rPr>
              <w:tab/>
            </w:r>
            <w:r w:rsidR="004318ED">
              <w:rPr>
                <w:webHidden/>
              </w:rPr>
              <w:fldChar w:fldCharType="begin"/>
            </w:r>
            <w:r w:rsidR="007B3631">
              <w:rPr>
                <w:webHidden/>
              </w:rPr>
              <w:instrText xml:space="preserve"> PAGEREF _Toc345348399 \h </w:instrText>
            </w:r>
            <w:r w:rsidR="004318ED">
              <w:rPr>
                <w:webHidden/>
              </w:rPr>
            </w:r>
            <w:r w:rsidR="004318ED">
              <w:rPr>
                <w:webHidden/>
              </w:rPr>
              <w:fldChar w:fldCharType="separate"/>
            </w:r>
            <w:r w:rsidR="007B3631">
              <w:rPr>
                <w:webHidden/>
              </w:rPr>
              <w:t>20</w:t>
            </w:r>
            <w:r w:rsidR="004318ED">
              <w:rPr>
                <w:webHidden/>
              </w:rPr>
              <w:fldChar w:fldCharType="end"/>
            </w:r>
          </w:hyperlink>
        </w:p>
        <w:p w:rsidR="007B3631" w:rsidRDefault="005406CD">
          <w:pPr>
            <w:pStyle w:val="TOC3"/>
            <w:rPr>
              <w:rFonts w:asciiTheme="minorHAnsi" w:eastAsiaTheme="minorEastAsia" w:hAnsiTheme="minorHAnsi" w:cstheme="minorBidi"/>
              <w:lang w:bidi="ar-SA"/>
            </w:rPr>
          </w:pPr>
          <w:hyperlink w:anchor="_Toc345348400" w:history="1">
            <w:r w:rsidR="007B3631" w:rsidRPr="00641802">
              <w:rPr>
                <w:rStyle w:val="Hyperlink"/>
              </w:rPr>
              <w:t>Milestones</w:t>
            </w:r>
            <w:r w:rsidR="007B3631">
              <w:rPr>
                <w:webHidden/>
              </w:rPr>
              <w:tab/>
            </w:r>
            <w:r w:rsidR="004318ED">
              <w:rPr>
                <w:webHidden/>
              </w:rPr>
              <w:fldChar w:fldCharType="begin"/>
            </w:r>
            <w:r w:rsidR="007B3631">
              <w:rPr>
                <w:webHidden/>
              </w:rPr>
              <w:instrText xml:space="preserve"> PAGEREF _Toc345348400 \h </w:instrText>
            </w:r>
            <w:r w:rsidR="004318ED">
              <w:rPr>
                <w:webHidden/>
              </w:rPr>
            </w:r>
            <w:r w:rsidR="004318ED">
              <w:rPr>
                <w:webHidden/>
              </w:rPr>
              <w:fldChar w:fldCharType="separate"/>
            </w:r>
            <w:r w:rsidR="007B3631">
              <w:rPr>
                <w:webHidden/>
              </w:rPr>
              <w:t>22</w:t>
            </w:r>
            <w:r w:rsidR="004318ED">
              <w:rPr>
                <w:webHidden/>
              </w:rPr>
              <w:fldChar w:fldCharType="end"/>
            </w:r>
          </w:hyperlink>
        </w:p>
        <w:p w:rsidR="007B3631" w:rsidRDefault="005406CD">
          <w:pPr>
            <w:pStyle w:val="TOC1"/>
            <w:rPr>
              <w:rFonts w:asciiTheme="minorHAnsi" w:eastAsiaTheme="minorEastAsia" w:hAnsiTheme="minorHAnsi" w:cstheme="minorBidi"/>
              <w:caps w:val="0"/>
              <w:sz w:val="22"/>
              <w:szCs w:val="22"/>
              <w:lang w:bidi="ar-SA"/>
            </w:rPr>
          </w:pPr>
          <w:hyperlink w:anchor="_Toc345348401" w:history="1">
            <w:r w:rsidR="007B3631" w:rsidRPr="00641802">
              <w:rPr>
                <w:rStyle w:val="Hyperlink"/>
              </w:rPr>
              <w:t>Conclusion</w:t>
            </w:r>
            <w:r w:rsidR="007B3631">
              <w:rPr>
                <w:webHidden/>
              </w:rPr>
              <w:tab/>
            </w:r>
            <w:r w:rsidR="004318ED">
              <w:rPr>
                <w:webHidden/>
              </w:rPr>
              <w:fldChar w:fldCharType="begin"/>
            </w:r>
            <w:r w:rsidR="007B3631">
              <w:rPr>
                <w:webHidden/>
              </w:rPr>
              <w:instrText xml:space="preserve"> PAGEREF _Toc345348401 \h </w:instrText>
            </w:r>
            <w:r w:rsidR="004318ED">
              <w:rPr>
                <w:webHidden/>
              </w:rPr>
            </w:r>
            <w:r w:rsidR="004318ED">
              <w:rPr>
                <w:webHidden/>
              </w:rPr>
              <w:fldChar w:fldCharType="separate"/>
            </w:r>
            <w:r w:rsidR="007B3631">
              <w:rPr>
                <w:webHidden/>
              </w:rPr>
              <w:t>22</w:t>
            </w:r>
            <w:r w:rsidR="004318ED">
              <w:rPr>
                <w:webHidden/>
              </w:rPr>
              <w:fldChar w:fldCharType="end"/>
            </w:r>
          </w:hyperlink>
        </w:p>
        <w:p w:rsidR="007B3631" w:rsidRDefault="005406CD">
          <w:pPr>
            <w:pStyle w:val="TOC1"/>
            <w:rPr>
              <w:rFonts w:asciiTheme="minorHAnsi" w:eastAsiaTheme="minorEastAsia" w:hAnsiTheme="minorHAnsi" w:cstheme="minorBidi"/>
              <w:caps w:val="0"/>
              <w:sz w:val="22"/>
              <w:szCs w:val="22"/>
              <w:lang w:bidi="ar-SA"/>
            </w:rPr>
          </w:pPr>
          <w:hyperlink w:anchor="_Toc345348402" w:history="1">
            <w:r w:rsidR="007B3631" w:rsidRPr="00641802">
              <w:rPr>
                <w:rStyle w:val="Hyperlink"/>
              </w:rPr>
              <w:t>Appendix</w:t>
            </w:r>
            <w:r w:rsidR="007B3631">
              <w:rPr>
                <w:webHidden/>
              </w:rPr>
              <w:tab/>
            </w:r>
            <w:r w:rsidR="004318ED">
              <w:rPr>
                <w:webHidden/>
              </w:rPr>
              <w:fldChar w:fldCharType="begin"/>
            </w:r>
            <w:r w:rsidR="007B3631">
              <w:rPr>
                <w:webHidden/>
              </w:rPr>
              <w:instrText xml:space="preserve"> PAGEREF _Toc345348402 \h </w:instrText>
            </w:r>
            <w:r w:rsidR="004318ED">
              <w:rPr>
                <w:webHidden/>
              </w:rPr>
            </w:r>
            <w:r w:rsidR="004318ED">
              <w:rPr>
                <w:webHidden/>
              </w:rPr>
              <w:fldChar w:fldCharType="separate"/>
            </w:r>
            <w:r w:rsidR="007B3631">
              <w:rPr>
                <w:webHidden/>
              </w:rPr>
              <w:t>24</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403" w:history="1">
            <w:r w:rsidR="007B3631" w:rsidRPr="00641802">
              <w:rPr>
                <w:rStyle w:val="Hyperlink"/>
              </w:rPr>
              <w:t>Glossary</w:t>
            </w:r>
            <w:r w:rsidR="007B3631">
              <w:rPr>
                <w:webHidden/>
              </w:rPr>
              <w:tab/>
            </w:r>
            <w:r w:rsidR="004318ED">
              <w:rPr>
                <w:webHidden/>
              </w:rPr>
              <w:fldChar w:fldCharType="begin"/>
            </w:r>
            <w:r w:rsidR="007B3631">
              <w:rPr>
                <w:webHidden/>
              </w:rPr>
              <w:instrText xml:space="preserve"> PAGEREF _Toc345348403 \h </w:instrText>
            </w:r>
            <w:r w:rsidR="004318ED">
              <w:rPr>
                <w:webHidden/>
              </w:rPr>
            </w:r>
            <w:r w:rsidR="004318ED">
              <w:rPr>
                <w:webHidden/>
              </w:rPr>
              <w:fldChar w:fldCharType="separate"/>
            </w:r>
            <w:r w:rsidR="007B3631">
              <w:rPr>
                <w:webHidden/>
              </w:rPr>
              <w:t>24</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404" w:history="1">
            <w:r w:rsidR="007B3631" w:rsidRPr="00641802">
              <w:rPr>
                <w:rStyle w:val="Hyperlink"/>
              </w:rPr>
              <w:t>HIMSS World Bank Task Force White Paper Contributors</w:t>
            </w:r>
            <w:r w:rsidR="007B3631">
              <w:rPr>
                <w:webHidden/>
              </w:rPr>
              <w:tab/>
            </w:r>
            <w:r w:rsidR="004318ED">
              <w:rPr>
                <w:webHidden/>
              </w:rPr>
              <w:fldChar w:fldCharType="begin"/>
            </w:r>
            <w:r w:rsidR="007B3631">
              <w:rPr>
                <w:webHidden/>
              </w:rPr>
              <w:instrText xml:space="preserve"> PAGEREF _Toc345348404 \h </w:instrText>
            </w:r>
            <w:r w:rsidR="004318ED">
              <w:rPr>
                <w:webHidden/>
              </w:rPr>
            </w:r>
            <w:r w:rsidR="004318ED">
              <w:rPr>
                <w:webHidden/>
              </w:rPr>
              <w:fldChar w:fldCharType="separate"/>
            </w:r>
            <w:r w:rsidR="007B3631">
              <w:rPr>
                <w:webHidden/>
              </w:rPr>
              <w:t>27</w:t>
            </w:r>
            <w:r w:rsidR="004318ED">
              <w:rPr>
                <w:webHidden/>
              </w:rPr>
              <w:fldChar w:fldCharType="end"/>
            </w:r>
          </w:hyperlink>
        </w:p>
        <w:p w:rsidR="007B3631" w:rsidRDefault="005406CD">
          <w:pPr>
            <w:pStyle w:val="TOC2"/>
            <w:rPr>
              <w:rFonts w:asciiTheme="minorHAnsi" w:eastAsiaTheme="minorEastAsia" w:hAnsiTheme="minorHAnsi" w:cstheme="minorBidi"/>
              <w:smallCaps w:val="0"/>
              <w:sz w:val="22"/>
              <w:szCs w:val="22"/>
              <w:lang w:bidi="ar-SA"/>
            </w:rPr>
          </w:pPr>
          <w:hyperlink w:anchor="_Toc345348405" w:history="1">
            <w:r w:rsidR="007B3631" w:rsidRPr="00641802">
              <w:rPr>
                <w:rStyle w:val="Hyperlink"/>
              </w:rPr>
              <w:t>Endnotes</w:t>
            </w:r>
            <w:r w:rsidR="007B3631">
              <w:rPr>
                <w:webHidden/>
              </w:rPr>
              <w:tab/>
            </w:r>
            <w:r w:rsidR="004318ED">
              <w:rPr>
                <w:webHidden/>
              </w:rPr>
              <w:fldChar w:fldCharType="begin"/>
            </w:r>
            <w:r w:rsidR="007B3631">
              <w:rPr>
                <w:webHidden/>
              </w:rPr>
              <w:instrText xml:space="preserve"> PAGEREF _Toc345348405 \h </w:instrText>
            </w:r>
            <w:r w:rsidR="004318ED">
              <w:rPr>
                <w:webHidden/>
              </w:rPr>
            </w:r>
            <w:r w:rsidR="004318ED">
              <w:rPr>
                <w:webHidden/>
              </w:rPr>
              <w:fldChar w:fldCharType="separate"/>
            </w:r>
            <w:r w:rsidR="007B3631">
              <w:rPr>
                <w:webHidden/>
              </w:rPr>
              <w:t>27</w:t>
            </w:r>
            <w:r w:rsidR="004318ED">
              <w:rPr>
                <w:webHidden/>
              </w:rPr>
              <w:fldChar w:fldCharType="end"/>
            </w:r>
          </w:hyperlink>
        </w:p>
        <w:p w:rsidR="005401E2" w:rsidRDefault="004318ED">
          <w:r>
            <w:fldChar w:fldCharType="end"/>
          </w:r>
        </w:p>
      </w:sdtContent>
    </w:sdt>
    <w:p w:rsidR="0088666D" w:rsidRDefault="0088666D" w:rsidP="00EF75BB">
      <w:pPr>
        <w:pStyle w:val="TitleBook"/>
        <w:spacing w:line="240" w:lineRule="auto"/>
        <w:jc w:val="both"/>
        <w:rPr>
          <w:rFonts w:cs="Tahoma"/>
          <w:sz w:val="40"/>
          <w:szCs w:val="40"/>
        </w:rPr>
      </w:pPr>
    </w:p>
    <w:p w:rsidR="0088666D" w:rsidRDefault="0088666D" w:rsidP="00EF75BB">
      <w:pPr>
        <w:pStyle w:val="TitleBook"/>
        <w:spacing w:line="240" w:lineRule="auto"/>
        <w:jc w:val="both"/>
        <w:rPr>
          <w:rFonts w:cs="Tahoma"/>
          <w:sz w:val="28"/>
          <w:szCs w:val="28"/>
        </w:rPr>
      </w:pPr>
    </w:p>
    <w:p w:rsidR="002A6471" w:rsidRDefault="002A6471" w:rsidP="00EF75BB">
      <w:pPr>
        <w:pStyle w:val="TitleBook"/>
        <w:spacing w:line="240" w:lineRule="auto"/>
        <w:jc w:val="both"/>
        <w:rPr>
          <w:rFonts w:cs="Tahoma"/>
          <w:sz w:val="28"/>
          <w:szCs w:val="28"/>
        </w:rPr>
      </w:pPr>
    </w:p>
    <w:p w:rsidR="002A6471" w:rsidRDefault="002A6471" w:rsidP="00EF75BB">
      <w:pPr>
        <w:pStyle w:val="TitleBook"/>
        <w:spacing w:line="240" w:lineRule="auto"/>
        <w:jc w:val="both"/>
        <w:rPr>
          <w:rFonts w:cs="Tahoma"/>
          <w:sz w:val="28"/>
          <w:szCs w:val="28"/>
        </w:rPr>
      </w:pPr>
    </w:p>
    <w:p w:rsidR="001D6D54" w:rsidRDefault="001D6D54" w:rsidP="00EF75BB">
      <w:pPr>
        <w:pStyle w:val="TitleBook"/>
        <w:spacing w:line="240" w:lineRule="auto"/>
        <w:jc w:val="both"/>
        <w:rPr>
          <w:rFonts w:cs="Tahoma"/>
          <w:sz w:val="28"/>
          <w:szCs w:val="28"/>
        </w:rPr>
      </w:pPr>
      <w:r>
        <w:rPr>
          <w:rFonts w:cs="Tahoma"/>
          <w:sz w:val="28"/>
          <w:szCs w:val="28"/>
        </w:rPr>
        <w:br w:type="column"/>
      </w:r>
    </w:p>
    <w:p w:rsidR="00F1105A" w:rsidRDefault="00F1105A" w:rsidP="00F1105A">
      <w:pPr>
        <w:pStyle w:val="Heading1"/>
      </w:pPr>
      <w:bookmarkStart w:id="1" w:name="_Toc345348374"/>
      <w:bookmarkEnd w:id="0"/>
      <w:r>
        <w:t>Executive Summary</w:t>
      </w:r>
      <w:bookmarkEnd w:id="1"/>
    </w:p>
    <w:p w:rsidR="00F1105A" w:rsidRDefault="008836EB" w:rsidP="008836EB">
      <w:pPr>
        <w:pStyle w:val="Heading2"/>
      </w:pPr>
      <w:bookmarkStart w:id="2" w:name="_Toc345348375"/>
      <w:r>
        <w:t>Opportunity</w:t>
      </w:r>
      <w:bookmarkEnd w:id="2"/>
    </w:p>
    <w:p w:rsidR="00514F94" w:rsidRDefault="007B54BD" w:rsidP="00D96467">
      <w:pPr>
        <w:pStyle w:val="NoSpacing"/>
        <w:rPr>
          <w:sz w:val="24"/>
          <w:szCs w:val="24"/>
        </w:rPr>
      </w:pPr>
      <w:r w:rsidRPr="00D96467">
        <w:rPr>
          <w:sz w:val="24"/>
          <w:szCs w:val="24"/>
        </w:rPr>
        <w:t xml:space="preserve">This HIMSS White Paper describes an opportunity </w:t>
      </w:r>
      <w:r w:rsidR="00514F94">
        <w:rPr>
          <w:sz w:val="24"/>
          <w:szCs w:val="24"/>
        </w:rPr>
        <w:t xml:space="preserve">for providers, payers, banks, financial networks, and healthcare clearinghouses </w:t>
      </w:r>
      <w:r w:rsidRPr="00D96467">
        <w:rPr>
          <w:sz w:val="24"/>
          <w:szCs w:val="24"/>
        </w:rPr>
        <w:t>to establish an interoperable Healthcare Payments Hub that enables Straight Through Processing (</w:t>
      </w:r>
      <w:hyperlink w:anchor="STP" w:history="1">
        <w:r w:rsidRPr="00425E01">
          <w:rPr>
            <w:rStyle w:val="Hyperlink"/>
            <w:sz w:val="24"/>
            <w:szCs w:val="24"/>
          </w:rPr>
          <w:t>STP</w:t>
        </w:r>
      </w:hyperlink>
      <w:r w:rsidRPr="00D96467">
        <w:rPr>
          <w:sz w:val="24"/>
          <w:szCs w:val="24"/>
        </w:rPr>
        <w:t xml:space="preserve">) of </w:t>
      </w:r>
      <w:r w:rsidR="000E1A02">
        <w:rPr>
          <w:sz w:val="24"/>
          <w:szCs w:val="24"/>
        </w:rPr>
        <w:t xml:space="preserve">healthcare financial </w:t>
      </w:r>
      <w:r w:rsidRPr="00D96467">
        <w:rPr>
          <w:sz w:val="24"/>
          <w:szCs w:val="24"/>
        </w:rPr>
        <w:t>transactions</w:t>
      </w:r>
      <w:r w:rsidR="000E1A02">
        <w:rPr>
          <w:sz w:val="24"/>
          <w:szCs w:val="24"/>
        </w:rPr>
        <w:t xml:space="preserve"> (or, as is the emerging parlance today, “medical banking” transactions)</w:t>
      </w:r>
      <w:r w:rsidRPr="00D96467">
        <w:rPr>
          <w:sz w:val="24"/>
          <w:szCs w:val="24"/>
        </w:rPr>
        <w:t xml:space="preserve">. </w:t>
      </w:r>
      <w:r w:rsidR="00514F94">
        <w:rPr>
          <w:sz w:val="24"/>
          <w:szCs w:val="24"/>
        </w:rPr>
        <w:t>This hub</w:t>
      </w:r>
      <w:r w:rsidR="00514F94" w:rsidRPr="009A7E4D">
        <w:rPr>
          <w:sz w:val="24"/>
          <w:szCs w:val="24"/>
        </w:rPr>
        <w:t xml:space="preserve"> </w:t>
      </w:r>
      <w:r w:rsidR="00514F94">
        <w:rPr>
          <w:sz w:val="24"/>
          <w:szCs w:val="24"/>
        </w:rPr>
        <w:t xml:space="preserve">is </w:t>
      </w:r>
      <w:r w:rsidR="00514F94" w:rsidRPr="009A7E4D">
        <w:rPr>
          <w:sz w:val="24"/>
          <w:szCs w:val="24"/>
        </w:rPr>
        <w:t xml:space="preserve">intended to demonstrate bottom line financial advantage to each of the </w:t>
      </w:r>
      <w:r w:rsidR="00514F94">
        <w:rPr>
          <w:sz w:val="24"/>
          <w:szCs w:val="24"/>
        </w:rPr>
        <w:t>c</w:t>
      </w:r>
      <w:r w:rsidR="00514F94" w:rsidRPr="009A7E4D">
        <w:rPr>
          <w:sz w:val="24"/>
          <w:szCs w:val="24"/>
        </w:rPr>
        <w:t xml:space="preserve">ounterparties involved by creating a functional prototype for </w:t>
      </w:r>
      <w:r w:rsidR="001F2A44">
        <w:rPr>
          <w:rFonts w:cs="Segoe UI"/>
          <w:sz w:val="24"/>
          <w:szCs w:val="24"/>
        </w:rPr>
        <w:t>Electronic Fund Transfers (</w:t>
      </w:r>
      <w:hyperlink w:anchor="EFT" w:history="1">
        <w:r w:rsidR="001F2A44" w:rsidRPr="006B6165">
          <w:rPr>
            <w:rStyle w:val="Hyperlink"/>
            <w:rFonts w:cs="Segoe UI"/>
            <w:sz w:val="24"/>
            <w:szCs w:val="24"/>
          </w:rPr>
          <w:t>EFT</w:t>
        </w:r>
      </w:hyperlink>
      <w:r w:rsidR="001F2A44">
        <w:rPr>
          <w:rFonts w:cs="Segoe UI"/>
          <w:sz w:val="24"/>
          <w:szCs w:val="24"/>
        </w:rPr>
        <w:t>)/Electronic Remittance Advice (</w:t>
      </w:r>
      <w:hyperlink w:anchor="ERA" w:history="1">
        <w:r w:rsidR="001F2A44" w:rsidRPr="00F37718">
          <w:rPr>
            <w:rStyle w:val="Hyperlink"/>
            <w:rFonts w:cs="Segoe UI"/>
            <w:sz w:val="24"/>
            <w:szCs w:val="24"/>
          </w:rPr>
          <w:t>ERA</w:t>
        </w:r>
      </w:hyperlink>
      <w:r w:rsidR="001F2A44">
        <w:rPr>
          <w:rFonts w:cs="Segoe UI"/>
          <w:sz w:val="24"/>
          <w:szCs w:val="24"/>
        </w:rPr>
        <w:t xml:space="preserve">) </w:t>
      </w:r>
      <w:r w:rsidR="00514F94" w:rsidRPr="009A7E4D">
        <w:rPr>
          <w:sz w:val="24"/>
          <w:szCs w:val="24"/>
        </w:rPr>
        <w:t xml:space="preserve">management using the </w:t>
      </w:r>
      <w:hyperlink w:anchor="STP" w:history="1">
        <w:r w:rsidR="00514F94" w:rsidRPr="00425E01">
          <w:rPr>
            <w:rStyle w:val="Hyperlink"/>
            <w:sz w:val="24"/>
            <w:szCs w:val="24"/>
          </w:rPr>
          <w:t>STP</w:t>
        </w:r>
      </w:hyperlink>
      <w:r w:rsidR="00514F94" w:rsidRPr="009A7E4D">
        <w:rPr>
          <w:sz w:val="24"/>
          <w:szCs w:val="24"/>
        </w:rPr>
        <w:t xml:space="preserve"> model.</w:t>
      </w:r>
      <w:r w:rsidR="00514F94">
        <w:rPr>
          <w:sz w:val="24"/>
          <w:szCs w:val="24"/>
        </w:rPr>
        <w:t xml:space="preserve"> </w:t>
      </w:r>
    </w:p>
    <w:p w:rsidR="00514F94" w:rsidRDefault="00514F94" w:rsidP="00D96467">
      <w:pPr>
        <w:pStyle w:val="NoSpacing"/>
        <w:rPr>
          <w:sz w:val="24"/>
          <w:szCs w:val="24"/>
        </w:rPr>
      </w:pPr>
    </w:p>
    <w:p w:rsidR="007B54BD" w:rsidRDefault="00514F94" w:rsidP="00D96467">
      <w:pPr>
        <w:pStyle w:val="NoSpacing"/>
        <w:rPr>
          <w:sz w:val="24"/>
          <w:szCs w:val="24"/>
        </w:rPr>
      </w:pPr>
      <w:r w:rsidRPr="007817BA">
        <w:rPr>
          <w:sz w:val="24"/>
          <w:szCs w:val="24"/>
        </w:rPr>
        <w:t xml:space="preserve">HIMSS believes that the </w:t>
      </w:r>
      <w:r>
        <w:rPr>
          <w:sz w:val="24"/>
          <w:szCs w:val="24"/>
        </w:rPr>
        <w:t xml:space="preserve">healthcare </w:t>
      </w:r>
      <w:r w:rsidRPr="007817BA">
        <w:rPr>
          <w:sz w:val="24"/>
          <w:szCs w:val="24"/>
        </w:rPr>
        <w:t xml:space="preserve">payments hub can be demonstrated in a limited fashion at the HIMSS </w:t>
      </w:r>
      <w:hyperlink w:anchor="HIMSSInteroperabilityShowcase" w:history="1">
        <w:r w:rsidRPr="005016DA">
          <w:rPr>
            <w:rStyle w:val="Hyperlink"/>
            <w:sz w:val="24"/>
            <w:szCs w:val="24"/>
          </w:rPr>
          <w:t>Interoperability Showcase</w:t>
        </w:r>
      </w:hyperlink>
      <w:r w:rsidRPr="007817BA">
        <w:rPr>
          <w:sz w:val="24"/>
          <w:szCs w:val="24"/>
        </w:rPr>
        <w:t xml:space="preserve"> and that this demonstration could spawn an impressive array of innovations that evolve from optimum use of data that is flowing through payment</w:t>
      </w:r>
      <w:r w:rsidRPr="00CB37C7">
        <w:rPr>
          <w:sz w:val="24"/>
          <w:szCs w:val="24"/>
        </w:rPr>
        <w:t xml:space="preserve"> channels.</w:t>
      </w:r>
      <w:r>
        <w:rPr>
          <w:sz w:val="24"/>
          <w:szCs w:val="24"/>
        </w:rPr>
        <w:t xml:space="preserve"> HIMSS encourages the healthcare community to</w:t>
      </w:r>
      <w:r w:rsidRPr="00CB37C7">
        <w:rPr>
          <w:sz w:val="24"/>
          <w:szCs w:val="24"/>
        </w:rPr>
        <w:t xml:space="preserve"> embark upon this path</w:t>
      </w:r>
      <w:r>
        <w:rPr>
          <w:sz w:val="24"/>
          <w:szCs w:val="24"/>
        </w:rPr>
        <w:t xml:space="preserve"> in order to provide s</w:t>
      </w:r>
      <w:r w:rsidRPr="00CB37C7">
        <w:rPr>
          <w:sz w:val="24"/>
          <w:szCs w:val="24"/>
        </w:rPr>
        <w:t>trong value</w:t>
      </w:r>
      <w:r>
        <w:rPr>
          <w:sz w:val="24"/>
          <w:szCs w:val="24"/>
        </w:rPr>
        <w:t xml:space="preserve"> and remarkable process efficiency</w:t>
      </w:r>
      <w:r w:rsidRPr="00CB37C7">
        <w:rPr>
          <w:sz w:val="24"/>
          <w:szCs w:val="24"/>
        </w:rPr>
        <w:t xml:space="preserve"> fo</w:t>
      </w:r>
      <w:r>
        <w:rPr>
          <w:sz w:val="24"/>
          <w:szCs w:val="24"/>
        </w:rPr>
        <w:t xml:space="preserve">r the </w:t>
      </w:r>
      <w:r w:rsidRPr="00CB37C7">
        <w:rPr>
          <w:sz w:val="24"/>
          <w:szCs w:val="24"/>
        </w:rPr>
        <w:t xml:space="preserve">stakeholders </w:t>
      </w:r>
      <w:r>
        <w:rPr>
          <w:sz w:val="24"/>
          <w:szCs w:val="24"/>
        </w:rPr>
        <w:t xml:space="preserve">engaged in the healthcare business process. Toward this end, the paper </w:t>
      </w:r>
      <w:r w:rsidR="007B54BD" w:rsidRPr="00D96467">
        <w:rPr>
          <w:sz w:val="24"/>
          <w:szCs w:val="24"/>
        </w:rPr>
        <w:t>concludes with a recommendation to form a pilot program</w:t>
      </w:r>
      <w:r w:rsidR="000E1A02">
        <w:rPr>
          <w:sz w:val="24"/>
          <w:szCs w:val="24"/>
        </w:rPr>
        <w:t>. This pilot would</w:t>
      </w:r>
      <w:r w:rsidR="007B54BD" w:rsidRPr="00D96467">
        <w:rPr>
          <w:sz w:val="24"/>
          <w:szCs w:val="24"/>
        </w:rPr>
        <w:t xml:space="preserve"> comprise existing stakeholders in their various roles while introducing </w:t>
      </w:r>
      <w:r w:rsidR="000E1A02">
        <w:rPr>
          <w:sz w:val="24"/>
          <w:szCs w:val="24"/>
        </w:rPr>
        <w:t xml:space="preserve">process </w:t>
      </w:r>
      <w:r w:rsidR="007B54BD" w:rsidRPr="00D96467">
        <w:rPr>
          <w:sz w:val="24"/>
          <w:szCs w:val="24"/>
        </w:rPr>
        <w:t xml:space="preserve">changes </w:t>
      </w:r>
      <w:r w:rsidR="000E1A02">
        <w:rPr>
          <w:sz w:val="24"/>
          <w:szCs w:val="24"/>
        </w:rPr>
        <w:t xml:space="preserve">that </w:t>
      </w:r>
      <w:r w:rsidR="004E1283" w:rsidRPr="00D96467">
        <w:rPr>
          <w:sz w:val="24"/>
          <w:szCs w:val="24"/>
        </w:rPr>
        <w:t>enhance value</w:t>
      </w:r>
      <w:r w:rsidR="007B54BD" w:rsidRPr="00D96467">
        <w:rPr>
          <w:sz w:val="24"/>
          <w:szCs w:val="24"/>
        </w:rPr>
        <w:t xml:space="preserve"> to the marketplace through cost savings and improved efficiencies.</w:t>
      </w:r>
    </w:p>
    <w:p w:rsidR="008836EB" w:rsidRDefault="008836EB" w:rsidP="008836EB">
      <w:pPr>
        <w:pStyle w:val="Heading2"/>
      </w:pPr>
      <w:bookmarkStart w:id="3" w:name="_Toc345348376"/>
      <w:r>
        <w:t>Background</w:t>
      </w:r>
      <w:bookmarkEnd w:id="3"/>
    </w:p>
    <w:p w:rsidR="00967FCF" w:rsidRDefault="008836EB" w:rsidP="00967FCF">
      <w:pPr>
        <w:pStyle w:val="NoSpacing"/>
        <w:rPr>
          <w:sz w:val="24"/>
          <w:szCs w:val="24"/>
        </w:rPr>
      </w:pPr>
      <w:r w:rsidRPr="0033416C">
        <w:rPr>
          <w:sz w:val="24"/>
          <w:szCs w:val="24"/>
        </w:rPr>
        <w:t xml:space="preserve">Since 2001, HIMSS Medical Banking Project has focused on the ever-increasing links between financial </w:t>
      </w:r>
      <w:r>
        <w:rPr>
          <w:sz w:val="24"/>
          <w:szCs w:val="24"/>
        </w:rPr>
        <w:t xml:space="preserve">and healthcare transactions. They have </w:t>
      </w:r>
      <w:r w:rsidRPr="0033416C">
        <w:rPr>
          <w:sz w:val="24"/>
          <w:szCs w:val="24"/>
        </w:rPr>
        <w:t xml:space="preserve">sought to </w:t>
      </w:r>
      <w:r>
        <w:rPr>
          <w:sz w:val="24"/>
          <w:szCs w:val="24"/>
        </w:rPr>
        <w:t xml:space="preserve">work with </w:t>
      </w:r>
      <w:r w:rsidRPr="0033416C">
        <w:rPr>
          <w:sz w:val="24"/>
          <w:szCs w:val="24"/>
        </w:rPr>
        <w:t xml:space="preserve">the </w:t>
      </w:r>
      <w:r>
        <w:rPr>
          <w:sz w:val="24"/>
          <w:szCs w:val="24"/>
        </w:rPr>
        <w:t xml:space="preserve">financial and </w:t>
      </w:r>
      <w:r w:rsidRPr="0033416C">
        <w:rPr>
          <w:sz w:val="24"/>
          <w:szCs w:val="24"/>
        </w:rPr>
        <w:t xml:space="preserve">healthcare stakeholders to implement a new foundation </w:t>
      </w:r>
      <w:r w:rsidR="007B54BD">
        <w:rPr>
          <w:sz w:val="24"/>
          <w:szCs w:val="24"/>
        </w:rPr>
        <w:t xml:space="preserve">for streamlining these communications and settlements while assuring this </w:t>
      </w:r>
      <w:r w:rsidRPr="0033416C">
        <w:rPr>
          <w:sz w:val="24"/>
          <w:szCs w:val="24"/>
        </w:rPr>
        <w:t xml:space="preserve">exchange </w:t>
      </w:r>
      <w:r w:rsidR="007B54BD">
        <w:rPr>
          <w:sz w:val="24"/>
          <w:szCs w:val="24"/>
        </w:rPr>
        <w:t>is secure and compliant with all regulatory requirements.</w:t>
      </w:r>
      <w:r w:rsidR="00967FCF">
        <w:rPr>
          <w:sz w:val="24"/>
          <w:szCs w:val="24"/>
        </w:rPr>
        <w:t xml:space="preserve"> This streamlining includes the concept of </w:t>
      </w:r>
      <w:hyperlink w:anchor="STP" w:history="1">
        <w:r w:rsidR="00967FCF" w:rsidRPr="00425E01">
          <w:rPr>
            <w:rStyle w:val="Hyperlink"/>
            <w:sz w:val="24"/>
            <w:szCs w:val="24"/>
          </w:rPr>
          <w:t>STP</w:t>
        </w:r>
      </w:hyperlink>
      <w:r w:rsidR="00967FCF">
        <w:rPr>
          <w:sz w:val="24"/>
          <w:szCs w:val="24"/>
        </w:rPr>
        <w:t>, which financial organizations employ to optimize transactions in such a manner that manual intervention is avoided or completely eliminated.</w:t>
      </w:r>
    </w:p>
    <w:p w:rsidR="00967FCF" w:rsidRDefault="00967FCF" w:rsidP="00967FCF">
      <w:pPr>
        <w:pStyle w:val="NoSpacing"/>
        <w:rPr>
          <w:sz w:val="24"/>
          <w:szCs w:val="24"/>
        </w:rPr>
      </w:pPr>
    </w:p>
    <w:p w:rsidR="00967FCF" w:rsidRDefault="008836EB" w:rsidP="008836EB">
      <w:pPr>
        <w:pStyle w:val="NoSpacing"/>
        <w:rPr>
          <w:sz w:val="24"/>
          <w:szCs w:val="24"/>
        </w:rPr>
      </w:pPr>
      <w:r w:rsidRPr="0033416C">
        <w:rPr>
          <w:sz w:val="24"/>
          <w:szCs w:val="24"/>
        </w:rPr>
        <w:t>According to industry experts, banks spend as much as three time</w:t>
      </w:r>
      <w:r>
        <w:rPr>
          <w:sz w:val="24"/>
          <w:szCs w:val="24"/>
        </w:rPr>
        <w:t>s more of their annual budgets o</w:t>
      </w:r>
      <w:r w:rsidRPr="0033416C">
        <w:rPr>
          <w:sz w:val="24"/>
          <w:szCs w:val="24"/>
        </w:rPr>
        <w:t xml:space="preserve">n information technology compared to </w:t>
      </w:r>
      <w:r>
        <w:rPr>
          <w:sz w:val="24"/>
          <w:szCs w:val="24"/>
        </w:rPr>
        <w:t xml:space="preserve">the overall </w:t>
      </w:r>
      <w:r w:rsidRPr="0033416C">
        <w:rPr>
          <w:sz w:val="24"/>
          <w:szCs w:val="24"/>
        </w:rPr>
        <w:t>healthcare</w:t>
      </w:r>
      <w:r>
        <w:rPr>
          <w:sz w:val="24"/>
          <w:szCs w:val="24"/>
        </w:rPr>
        <w:t xml:space="preserve"> industry</w:t>
      </w:r>
      <w:r w:rsidRPr="0033416C">
        <w:rPr>
          <w:sz w:val="24"/>
          <w:szCs w:val="24"/>
        </w:rPr>
        <w:t>. Thus the idea arises that there may be a broad and compelling opportunity to use banking platforms that are already scaled with strong annual investments.</w:t>
      </w:r>
    </w:p>
    <w:p w:rsidR="008836EB" w:rsidRDefault="008836EB" w:rsidP="008836EB">
      <w:pPr>
        <w:pStyle w:val="Heading2"/>
      </w:pPr>
      <w:bookmarkStart w:id="4" w:name="_Toc345348377"/>
      <w:r>
        <w:t>Current Situation</w:t>
      </w:r>
      <w:bookmarkEnd w:id="4"/>
    </w:p>
    <w:p w:rsidR="004C4D8D" w:rsidRDefault="004C4D8D" w:rsidP="008836EB">
      <w:pPr>
        <w:pStyle w:val="NoSpacing"/>
        <w:rPr>
          <w:rFonts w:cs="Segoe UI"/>
          <w:sz w:val="24"/>
          <w:szCs w:val="24"/>
        </w:rPr>
      </w:pPr>
      <w:r>
        <w:rPr>
          <w:rFonts w:cs="Segoe UI"/>
          <w:sz w:val="24"/>
          <w:szCs w:val="24"/>
        </w:rPr>
        <w:t>In healthcare today, health plans issue payments via Electronic Fund Transfers (</w:t>
      </w:r>
      <w:hyperlink w:anchor="EFT" w:history="1">
        <w:r w:rsidRPr="006B6165">
          <w:rPr>
            <w:rStyle w:val="Hyperlink"/>
            <w:rFonts w:cs="Segoe UI"/>
            <w:sz w:val="24"/>
            <w:szCs w:val="24"/>
          </w:rPr>
          <w:t>EFT</w:t>
        </w:r>
      </w:hyperlink>
      <w:r>
        <w:rPr>
          <w:rFonts w:cs="Segoe UI"/>
          <w:sz w:val="24"/>
          <w:szCs w:val="24"/>
        </w:rPr>
        <w:t xml:space="preserve">s) and corresponding Remittance Advice transactions </w:t>
      </w:r>
      <w:r w:rsidR="000E1A02">
        <w:rPr>
          <w:rFonts w:cs="Segoe UI"/>
          <w:sz w:val="24"/>
          <w:szCs w:val="24"/>
        </w:rPr>
        <w:t xml:space="preserve">or Electronic Remittance Advices </w:t>
      </w:r>
      <w:r>
        <w:rPr>
          <w:rFonts w:cs="Segoe UI"/>
          <w:sz w:val="24"/>
          <w:szCs w:val="24"/>
        </w:rPr>
        <w:t>(ERAs)</w:t>
      </w:r>
      <w:r w:rsidR="000E1A02">
        <w:rPr>
          <w:rFonts w:cs="Segoe UI"/>
          <w:sz w:val="24"/>
          <w:szCs w:val="24"/>
        </w:rPr>
        <w:t xml:space="preserve">. These transactions are distinct and typically </w:t>
      </w:r>
      <w:r w:rsidR="00E214C7">
        <w:rPr>
          <w:rFonts w:cs="Segoe UI"/>
          <w:sz w:val="24"/>
          <w:szCs w:val="24"/>
        </w:rPr>
        <w:t>flow through</w:t>
      </w:r>
      <w:r>
        <w:rPr>
          <w:rFonts w:cs="Segoe UI"/>
          <w:sz w:val="24"/>
          <w:szCs w:val="24"/>
        </w:rPr>
        <w:t xml:space="preserve"> two completely different paths. </w:t>
      </w:r>
      <w:hyperlink w:anchor="EFT" w:history="1">
        <w:r w:rsidRPr="006B6165">
          <w:rPr>
            <w:rStyle w:val="Hyperlink"/>
            <w:rFonts w:cs="Segoe UI"/>
            <w:sz w:val="24"/>
            <w:szCs w:val="24"/>
          </w:rPr>
          <w:t>EFT</w:t>
        </w:r>
      </w:hyperlink>
      <w:r>
        <w:rPr>
          <w:rFonts w:cs="Segoe UI"/>
          <w:sz w:val="24"/>
          <w:szCs w:val="24"/>
        </w:rPr>
        <w:t xml:space="preserve">s are processed through financial networks and ERAs through healthcare networks. </w:t>
      </w:r>
      <w:r>
        <w:rPr>
          <w:rFonts w:cs="Segoe UI"/>
          <w:sz w:val="24"/>
          <w:szCs w:val="24"/>
        </w:rPr>
        <w:lastRenderedPageBreak/>
        <w:t>This information is received by the provider and their bank at different times, and they are not inherently easy to match.</w:t>
      </w:r>
    </w:p>
    <w:p w:rsidR="004C4D8D" w:rsidRDefault="004C4D8D" w:rsidP="004E1283">
      <w:pPr>
        <w:pStyle w:val="NoSpacing"/>
        <w:rPr>
          <w:rFonts w:cs="Segoe UI"/>
          <w:sz w:val="24"/>
          <w:szCs w:val="24"/>
        </w:rPr>
      </w:pPr>
    </w:p>
    <w:p w:rsidR="004E1283" w:rsidRDefault="004E1283" w:rsidP="004C4D8D">
      <w:pPr>
        <w:pStyle w:val="NoSpacing"/>
        <w:rPr>
          <w:rFonts w:cs="Segoe UI"/>
          <w:sz w:val="24"/>
          <w:szCs w:val="24"/>
        </w:rPr>
      </w:pPr>
      <w:r>
        <w:rPr>
          <w:rFonts w:cs="Segoe UI"/>
          <w:sz w:val="24"/>
          <w:szCs w:val="24"/>
        </w:rPr>
        <w:t xml:space="preserve">In July 2012, </w:t>
      </w:r>
      <w:hyperlink w:anchor="HHS" w:history="1">
        <w:r w:rsidRPr="00225529">
          <w:rPr>
            <w:rStyle w:val="Hyperlink"/>
            <w:rFonts w:cs="Segoe UI"/>
            <w:sz w:val="24"/>
            <w:szCs w:val="24"/>
          </w:rPr>
          <w:t>HHS</w:t>
        </w:r>
      </w:hyperlink>
      <w:r>
        <w:rPr>
          <w:rFonts w:cs="Segoe UI"/>
          <w:sz w:val="24"/>
          <w:szCs w:val="24"/>
        </w:rPr>
        <w:t xml:space="preserve"> published Operating Rules </w:t>
      </w:r>
      <w:r w:rsidR="004C4D8D">
        <w:rPr>
          <w:rFonts w:cs="Segoe UI"/>
          <w:sz w:val="24"/>
          <w:szCs w:val="24"/>
        </w:rPr>
        <w:t xml:space="preserve">for healthcare payments </w:t>
      </w:r>
      <w:r>
        <w:rPr>
          <w:rFonts w:cs="Segoe UI"/>
          <w:sz w:val="24"/>
          <w:szCs w:val="24"/>
        </w:rPr>
        <w:t xml:space="preserve">that include </w:t>
      </w:r>
      <w:r w:rsidR="004C4D8D">
        <w:rPr>
          <w:rFonts w:cs="Segoe UI"/>
          <w:sz w:val="24"/>
          <w:szCs w:val="24"/>
        </w:rPr>
        <w:t xml:space="preserve">requirements for </w:t>
      </w:r>
      <w:r>
        <w:rPr>
          <w:rFonts w:cs="Segoe UI"/>
          <w:sz w:val="24"/>
          <w:szCs w:val="24"/>
        </w:rPr>
        <w:t>re</w:t>
      </w:r>
      <w:r w:rsidR="004C4D8D">
        <w:rPr>
          <w:rFonts w:cs="Segoe UI"/>
          <w:sz w:val="24"/>
          <w:szCs w:val="24"/>
        </w:rPr>
        <w:t>-</w:t>
      </w:r>
      <w:r>
        <w:rPr>
          <w:rFonts w:cs="Segoe UI"/>
          <w:sz w:val="24"/>
          <w:szCs w:val="24"/>
        </w:rPr>
        <w:t>association, timing, and delivery</w:t>
      </w:r>
      <w:r w:rsidR="004C4D8D">
        <w:rPr>
          <w:rFonts w:cs="Segoe UI"/>
          <w:sz w:val="24"/>
          <w:szCs w:val="24"/>
        </w:rPr>
        <w:t xml:space="preserve">. While these requirements </w:t>
      </w:r>
      <w:r w:rsidR="00C720EC">
        <w:rPr>
          <w:rFonts w:cs="Segoe UI"/>
          <w:sz w:val="24"/>
          <w:szCs w:val="24"/>
        </w:rPr>
        <w:t xml:space="preserve">will </w:t>
      </w:r>
      <w:r w:rsidR="00E214C7">
        <w:rPr>
          <w:rFonts w:cs="Segoe UI"/>
          <w:sz w:val="24"/>
          <w:szCs w:val="24"/>
        </w:rPr>
        <w:t>certainly serve</w:t>
      </w:r>
      <w:r w:rsidR="004C4D8D">
        <w:rPr>
          <w:rFonts w:cs="Segoe UI"/>
          <w:sz w:val="24"/>
          <w:szCs w:val="24"/>
        </w:rPr>
        <w:t xml:space="preserve"> as a catalyst for enhancing healthcare payment needs, the plethora of healthcare transaction delivery mechanisms remains a challenge.</w:t>
      </w:r>
    </w:p>
    <w:p w:rsidR="008836EB" w:rsidRDefault="008836EB" w:rsidP="008836EB">
      <w:pPr>
        <w:pStyle w:val="Heading2"/>
      </w:pPr>
      <w:bookmarkStart w:id="5" w:name="_Toc345348378"/>
      <w:r>
        <w:t>Recommendation</w:t>
      </w:r>
      <w:bookmarkEnd w:id="5"/>
    </w:p>
    <w:p w:rsidR="000E1A02" w:rsidRDefault="00D96467" w:rsidP="00D96467">
      <w:pPr>
        <w:pStyle w:val="NoSpacing"/>
        <w:rPr>
          <w:sz w:val="24"/>
          <w:szCs w:val="24"/>
        </w:rPr>
      </w:pPr>
      <w:r>
        <w:rPr>
          <w:sz w:val="24"/>
          <w:szCs w:val="24"/>
        </w:rPr>
        <w:t>The</w:t>
      </w:r>
      <w:r w:rsidR="008836EB" w:rsidRPr="004501D6">
        <w:rPr>
          <w:sz w:val="24"/>
          <w:szCs w:val="24"/>
        </w:rPr>
        <w:t xml:space="preserve"> objective of this white paper is to identify some of the key problem areas that exist</w:t>
      </w:r>
      <w:r w:rsidR="008836EB" w:rsidRPr="00C03E33">
        <w:rPr>
          <w:sz w:val="24"/>
          <w:szCs w:val="24"/>
        </w:rPr>
        <w:t xml:space="preserve"> and to create a framework for industry acti</w:t>
      </w:r>
      <w:r w:rsidR="008836EB">
        <w:rPr>
          <w:sz w:val="24"/>
          <w:szCs w:val="24"/>
        </w:rPr>
        <w:t xml:space="preserve">on in the form of a "healthcare </w:t>
      </w:r>
      <w:r w:rsidR="008836EB" w:rsidRPr="00C03E33">
        <w:rPr>
          <w:sz w:val="24"/>
          <w:szCs w:val="24"/>
        </w:rPr>
        <w:t xml:space="preserve">payments hub” pilot design. </w:t>
      </w:r>
      <w:r w:rsidR="000E1A02">
        <w:rPr>
          <w:sz w:val="24"/>
          <w:szCs w:val="24"/>
        </w:rPr>
        <w:t>The “hub” would address many of the stakeholder challenges in payment processing and enable a much more streamlined approach for cash posting, reconciliation, workflow automation and ultimately, business intelligence.</w:t>
      </w:r>
    </w:p>
    <w:p w:rsidR="000E1A02" w:rsidRDefault="000E1A02" w:rsidP="00D96467">
      <w:pPr>
        <w:pStyle w:val="NoSpacing"/>
        <w:rPr>
          <w:sz w:val="24"/>
          <w:szCs w:val="24"/>
        </w:rPr>
      </w:pPr>
    </w:p>
    <w:p w:rsidR="009A4A2D" w:rsidRDefault="008836EB" w:rsidP="00D96467">
      <w:pPr>
        <w:pStyle w:val="NoSpacing"/>
        <w:rPr>
          <w:sz w:val="24"/>
          <w:szCs w:val="24"/>
        </w:rPr>
      </w:pPr>
      <w:r w:rsidRPr="00C03E33">
        <w:rPr>
          <w:sz w:val="24"/>
          <w:szCs w:val="24"/>
        </w:rPr>
        <w:t xml:space="preserve">The industry objectives of the hub, specific goals, operating requirements, and the high level solution architecture and design are all part of the discussion that is outlined in this document. Implementing a pilot is not within </w:t>
      </w:r>
      <w:r w:rsidR="00D96467">
        <w:rPr>
          <w:sz w:val="24"/>
          <w:szCs w:val="24"/>
        </w:rPr>
        <w:t>scope</w:t>
      </w:r>
      <w:r w:rsidRPr="00C03E33">
        <w:rPr>
          <w:sz w:val="24"/>
          <w:szCs w:val="24"/>
        </w:rPr>
        <w:t>; however, it is anticipated that any interest generated by this paper can influence the creation of such a program</w:t>
      </w:r>
      <w:r>
        <w:rPr>
          <w:sz w:val="24"/>
          <w:szCs w:val="24"/>
        </w:rPr>
        <w:t>.</w:t>
      </w:r>
    </w:p>
    <w:p w:rsidR="00491EEB" w:rsidRDefault="00491EEB">
      <w:pPr>
        <w:rPr>
          <w:sz w:val="24"/>
          <w:szCs w:val="24"/>
        </w:rPr>
      </w:pPr>
      <w:r>
        <w:rPr>
          <w:sz w:val="24"/>
          <w:szCs w:val="24"/>
        </w:rPr>
        <w:br w:type="page"/>
      </w:r>
    </w:p>
    <w:p w:rsidR="00F1105A" w:rsidRDefault="00F1105A" w:rsidP="00F1105A">
      <w:pPr>
        <w:pStyle w:val="Heading1"/>
      </w:pPr>
      <w:bookmarkStart w:id="6" w:name="_Toc345348379"/>
      <w:r>
        <w:lastRenderedPageBreak/>
        <w:t>Opportunity</w:t>
      </w:r>
      <w:bookmarkEnd w:id="6"/>
    </w:p>
    <w:p w:rsidR="00883D2E" w:rsidRDefault="00883D2E" w:rsidP="00883D2E">
      <w:pPr>
        <w:pStyle w:val="NoSpacing"/>
        <w:rPr>
          <w:sz w:val="24"/>
          <w:szCs w:val="24"/>
        </w:rPr>
      </w:pPr>
      <w:r w:rsidRPr="00D96467">
        <w:rPr>
          <w:sz w:val="24"/>
          <w:szCs w:val="24"/>
        </w:rPr>
        <w:t xml:space="preserve">This </w:t>
      </w:r>
      <w:r>
        <w:rPr>
          <w:sz w:val="24"/>
          <w:szCs w:val="24"/>
        </w:rPr>
        <w:t>p</w:t>
      </w:r>
      <w:r w:rsidRPr="00D96467">
        <w:rPr>
          <w:sz w:val="24"/>
          <w:szCs w:val="24"/>
        </w:rPr>
        <w:t xml:space="preserve">aper describes an opportunity to establish an interoperable </w:t>
      </w:r>
      <w:r w:rsidR="000E1A02">
        <w:rPr>
          <w:sz w:val="24"/>
          <w:szCs w:val="24"/>
        </w:rPr>
        <w:t>“</w:t>
      </w:r>
      <w:r w:rsidRPr="00D96467">
        <w:rPr>
          <w:sz w:val="24"/>
          <w:szCs w:val="24"/>
        </w:rPr>
        <w:t>Healthcare Payments Hub</w:t>
      </w:r>
      <w:r w:rsidR="000E1A02">
        <w:rPr>
          <w:sz w:val="24"/>
          <w:szCs w:val="24"/>
        </w:rPr>
        <w:t>”</w:t>
      </w:r>
      <w:r w:rsidRPr="00D96467">
        <w:rPr>
          <w:sz w:val="24"/>
          <w:szCs w:val="24"/>
        </w:rPr>
        <w:t xml:space="preserve"> that enables Straight Through Processing (</w:t>
      </w:r>
      <w:hyperlink w:anchor="STP" w:history="1">
        <w:r w:rsidRPr="00425E01">
          <w:rPr>
            <w:rStyle w:val="Hyperlink"/>
            <w:sz w:val="24"/>
            <w:szCs w:val="24"/>
          </w:rPr>
          <w:t>STP</w:t>
        </w:r>
      </w:hyperlink>
      <w:r w:rsidRPr="00D96467">
        <w:rPr>
          <w:sz w:val="24"/>
          <w:szCs w:val="24"/>
        </w:rPr>
        <w:t>) of medical banking transactions</w:t>
      </w:r>
      <w:r>
        <w:rPr>
          <w:sz w:val="24"/>
          <w:szCs w:val="24"/>
        </w:rPr>
        <w:t xml:space="preserve">. </w:t>
      </w:r>
      <w:hyperlink w:anchor="STP" w:history="1">
        <w:r w:rsidRPr="00425E01">
          <w:rPr>
            <w:rStyle w:val="Hyperlink"/>
            <w:sz w:val="24"/>
            <w:szCs w:val="24"/>
          </w:rPr>
          <w:t>STP</w:t>
        </w:r>
      </w:hyperlink>
      <w:r>
        <w:rPr>
          <w:sz w:val="24"/>
          <w:szCs w:val="24"/>
        </w:rPr>
        <w:t xml:space="preserve"> is </w:t>
      </w:r>
      <w:r w:rsidRPr="00520A99">
        <w:rPr>
          <w:sz w:val="24"/>
          <w:szCs w:val="24"/>
        </w:rPr>
        <w:t xml:space="preserve">used by companies in the financial world to optimize the speed at which transactions are processed. This is performed by allowing information that has been electronically entered to be transferred from one party to another in the settlement process without </w:t>
      </w:r>
      <w:r w:rsidR="00D76821">
        <w:rPr>
          <w:sz w:val="24"/>
          <w:szCs w:val="24"/>
        </w:rPr>
        <w:t>having to manually re-enter</w:t>
      </w:r>
      <w:r w:rsidRPr="00520A99">
        <w:rPr>
          <w:sz w:val="24"/>
          <w:szCs w:val="24"/>
        </w:rPr>
        <w:t xml:space="preserve"> the same pieces of information repeatedly over the entire sequence of events.</w:t>
      </w:r>
      <w:r>
        <w:rPr>
          <w:rStyle w:val="EndnoteReference"/>
          <w:sz w:val="24"/>
          <w:szCs w:val="24"/>
        </w:rPr>
        <w:endnoteReference w:id="1"/>
      </w:r>
    </w:p>
    <w:p w:rsidR="00883D2E" w:rsidRPr="00883D2E" w:rsidRDefault="00883D2E" w:rsidP="00883D2E">
      <w:pPr>
        <w:pStyle w:val="NoSpacing"/>
        <w:rPr>
          <w:sz w:val="24"/>
          <w:szCs w:val="24"/>
        </w:rPr>
      </w:pPr>
    </w:p>
    <w:p w:rsidR="00F1105A" w:rsidRDefault="00F1105A" w:rsidP="00F1105A">
      <w:pPr>
        <w:tabs>
          <w:tab w:val="left" w:pos="4245"/>
        </w:tabs>
        <w:rPr>
          <w:rFonts w:cs="Segoe UI"/>
          <w:sz w:val="24"/>
          <w:szCs w:val="24"/>
        </w:rPr>
      </w:pPr>
      <w:r>
        <w:rPr>
          <w:rFonts w:cs="Segoe UI"/>
          <w:sz w:val="24"/>
          <w:szCs w:val="24"/>
        </w:rPr>
        <w:t xml:space="preserve">Administrative efficiency is driving the need for </w:t>
      </w:r>
      <w:r w:rsidRPr="00584FC7">
        <w:rPr>
          <w:rFonts w:cs="Segoe UI"/>
          <w:sz w:val="24"/>
          <w:szCs w:val="24"/>
        </w:rPr>
        <w:t xml:space="preserve">a new </w:t>
      </w:r>
      <w:r>
        <w:rPr>
          <w:rFonts w:cs="Segoe UI"/>
          <w:sz w:val="24"/>
          <w:szCs w:val="24"/>
        </w:rPr>
        <w:t>healthcare financial network</w:t>
      </w:r>
      <w:r w:rsidRPr="00584FC7">
        <w:rPr>
          <w:rFonts w:cs="Segoe UI"/>
          <w:sz w:val="24"/>
          <w:szCs w:val="24"/>
        </w:rPr>
        <w:t>.</w:t>
      </w:r>
      <w:r>
        <w:rPr>
          <w:rFonts w:cs="Segoe UI"/>
          <w:sz w:val="24"/>
          <w:szCs w:val="24"/>
        </w:rPr>
        <w:t xml:space="preserve"> Because thi</w:t>
      </w:r>
      <w:r w:rsidR="00D76821">
        <w:rPr>
          <w:rFonts w:cs="Segoe UI"/>
          <w:sz w:val="24"/>
          <w:szCs w:val="24"/>
        </w:rPr>
        <w:t xml:space="preserve">s network is central to all </w:t>
      </w:r>
      <w:r>
        <w:rPr>
          <w:rFonts w:cs="Segoe UI"/>
          <w:sz w:val="24"/>
          <w:szCs w:val="24"/>
        </w:rPr>
        <w:t xml:space="preserve">stakeholders, each with varying technology and business objectives, there is a need to frame the </w:t>
      </w:r>
      <w:r w:rsidR="00D76821">
        <w:rPr>
          <w:rFonts w:cs="Segoe UI"/>
          <w:sz w:val="24"/>
          <w:szCs w:val="24"/>
        </w:rPr>
        <w:t xml:space="preserve">network’s </w:t>
      </w:r>
      <w:r>
        <w:rPr>
          <w:rFonts w:cs="Segoe UI"/>
          <w:sz w:val="24"/>
          <w:szCs w:val="24"/>
        </w:rPr>
        <w:t xml:space="preserve">scope </w:t>
      </w:r>
      <w:r w:rsidRPr="00584FC7">
        <w:rPr>
          <w:rFonts w:cs="Segoe UI"/>
          <w:sz w:val="24"/>
          <w:szCs w:val="24"/>
        </w:rPr>
        <w:t>of what</w:t>
      </w:r>
      <w:r w:rsidR="00D76821">
        <w:rPr>
          <w:rFonts w:cs="Segoe UI"/>
          <w:sz w:val="24"/>
          <w:szCs w:val="24"/>
        </w:rPr>
        <w:t xml:space="preserve"> i</w:t>
      </w:r>
      <w:r w:rsidRPr="00584FC7">
        <w:rPr>
          <w:rFonts w:cs="Segoe UI"/>
          <w:sz w:val="24"/>
          <w:szCs w:val="24"/>
        </w:rPr>
        <w:t xml:space="preserve">s being proposed and </w:t>
      </w:r>
      <w:r w:rsidR="00E214C7" w:rsidRPr="00584FC7">
        <w:rPr>
          <w:rFonts w:cs="Segoe UI"/>
          <w:sz w:val="24"/>
          <w:szCs w:val="24"/>
        </w:rPr>
        <w:t>why</w:t>
      </w:r>
      <w:r w:rsidR="00D76821">
        <w:rPr>
          <w:rFonts w:cs="Segoe UI"/>
          <w:sz w:val="24"/>
          <w:szCs w:val="24"/>
        </w:rPr>
        <w:t xml:space="preserve"> it is needed</w:t>
      </w:r>
      <w:r w:rsidR="00E214C7" w:rsidRPr="00584FC7">
        <w:rPr>
          <w:rFonts w:cs="Segoe UI"/>
          <w:sz w:val="24"/>
          <w:szCs w:val="24"/>
        </w:rPr>
        <w:t>.</w:t>
      </w:r>
      <w:r w:rsidR="00E214C7">
        <w:rPr>
          <w:rFonts w:cs="Segoe UI"/>
          <w:sz w:val="24"/>
          <w:szCs w:val="24"/>
        </w:rPr>
        <w:t xml:space="preserve"> </w:t>
      </w:r>
      <w:r w:rsidR="00D76821">
        <w:rPr>
          <w:rFonts w:cs="Segoe UI"/>
          <w:sz w:val="24"/>
          <w:szCs w:val="24"/>
        </w:rPr>
        <w:t>V</w:t>
      </w:r>
      <w:r>
        <w:rPr>
          <w:rFonts w:cs="Segoe UI"/>
          <w:sz w:val="24"/>
          <w:szCs w:val="24"/>
        </w:rPr>
        <w:t>endor</w:t>
      </w:r>
      <w:r w:rsidRPr="00584FC7">
        <w:rPr>
          <w:rFonts w:cs="Segoe UI"/>
          <w:sz w:val="24"/>
          <w:szCs w:val="24"/>
        </w:rPr>
        <w:t xml:space="preserve">s and suppliers </w:t>
      </w:r>
      <w:r>
        <w:rPr>
          <w:rFonts w:cs="Segoe UI"/>
          <w:sz w:val="24"/>
          <w:szCs w:val="24"/>
        </w:rPr>
        <w:t xml:space="preserve">will then be able to add value to the payments hub based on their strategic objectives. The successful organic growth of </w:t>
      </w:r>
      <w:r w:rsidRPr="00584FC7">
        <w:rPr>
          <w:rFonts w:cs="Segoe UI"/>
          <w:sz w:val="24"/>
          <w:szCs w:val="24"/>
        </w:rPr>
        <w:t xml:space="preserve">marketplaces </w:t>
      </w:r>
      <w:r>
        <w:rPr>
          <w:rFonts w:cs="Segoe UI"/>
          <w:sz w:val="24"/>
          <w:szCs w:val="24"/>
        </w:rPr>
        <w:t>like Google, Faceb</w:t>
      </w:r>
      <w:r w:rsidRPr="00584FC7">
        <w:rPr>
          <w:rFonts w:cs="Segoe UI"/>
          <w:sz w:val="24"/>
          <w:szCs w:val="24"/>
        </w:rPr>
        <w:t>ook</w:t>
      </w:r>
      <w:r w:rsidR="009B76D6">
        <w:rPr>
          <w:rFonts w:cs="Segoe UI"/>
          <w:sz w:val="24"/>
          <w:szCs w:val="24"/>
        </w:rPr>
        <w:t>,</w:t>
      </w:r>
      <w:r w:rsidRPr="00584FC7">
        <w:rPr>
          <w:rFonts w:cs="Segoe UI"/>
          <w:sz w:val="24"/>
          <w:szCs w:val="24"/>
        </w:rPr>
        <w:t xml:space="preserve"> and Twitter </w:t>
      </w:r>
      <w:r>
        <w:rPr>
          <w:rFonts w:cs="Segoe UI"/>
          <w:sz w:val="24"/>
          <w:szCs w:val="24"/>
        </w:rPr>
        <w:t xml:space="preserve">reveal that a foundational platform with </w:t>
      </w:r>
      <w:r w:rsidR="00E214C7">
        <w:rPr>
          <w:rFonts w:cs="Segoe UI"/>
          <w:sz w:val="24"/>
          <w:szCs w:val="24"/>
        </w:rPr>
        <w:t>appropriate rules</w:t>
      </w:r>
      <w:r w:rsidR="009B76D6">
        <w:rPr>
          <w:rFonts w:cs="Segoe UI"/>
          <w:sz w:val="24"/>
          <w:szCs w:val="24"/>
        </w:rPr>
        <w:t xml:space="preserve"> of conduct</w:t>
      </w:r>
      <w:r w:rsidRPr="00584FC7">
        <w:rPr>
          <w:rFonts w:cs="Segoe UI"/>
          <w:sz w:val="24"/>
          <w:szCs w:val="24"/>
        </w:rPr>
        <w:t xml:space="preserve"> can generate market creativity and rapid adoption </w:t>
      </w:r>
      <w:r>
        <w:rPr>
          <w:rFonts w:cs="Segoe UI"/>
          <w:sz w:val="24"/>
          <w:szCs w:val="24"/>
        </w:rPr>
        <w:t xml:space="preserve">versus </w:t>
      </w:r>
      <w:r w:rsidRPr="00584FC7">
        <w:rPr>
          <w:rFonts w:cs="Segoe UI"/>
          <w:sz w:val="24"/>
          <w:szCs w:val="24"/>
        </w:rPr>
        <w:t>over-prescription of market exchange solutions.</w:t>
      </w:r>
    </w:p>
    <w:p w:rsidR="00883D2E" w:rsidRPr="00D96467" w:rsidRDefault="00883D2E" w:rsidP="00883D2E">
      <w:pPr>
        <w:pStyle w:val="NoSpacing"/>
        <w:rPr>
          <w:sz w:val="24"/>
          <w:szCs w:val="24"/>
        </w:rPr>
      </w:pPr>
      <w:r>
        <w:rPr>
          <w:sz w:val="24"/>
          <w:szCs w:val="24"/>
        </w:rPr>
        <w:t>This paper includes</w:t>
      </w:r>
      <w:r w:rsidRPr="00D96467">
        <w:rPr>
          <w:sz w:val="24"/>
          <w:szCs w:val="24"/>
        </w:rPr>
        <w:t xml:space="preserve"> a recommendation to form a pilot program comprised of existing stakeholders in their various roles </w:t>
      </w:r>
      <w:r w:rsidR="00D76821">
        <w:rPr>
          <w:sz w:val="24"/>
          <w:szCs w:val="24"/>
        </w:rPr>
        <w:t>that tests</w:t>
      </w:r>
      <w:r w:rsidRPr="00D96467">
        <w:rPr>
          <w:sz w:val="24"/>
          <w:szCs w:val="24"/>
        </w:rPr>
        <w:t xml:space="preserve"> some key changes in strategic areas to provide enhanced value to the marketplace through cost savings and improved efficiencies.</w:t>
      </w:r>
    </w:p>
    <w:p w:rsidR="00F1105A" w:rsidRPr="005401E2" w:rsidRDefault="00F1105A" w:rsidP="005401E2">
      <w:pPr>
        <w:pStyle w:val="Heading2"/>
      </w:pPr>
      <w:bookmarkStart w:id="7" w:name="_Toc340052370"/>
      <w:bookmarkStart w:id="8" w:name="_Toc345348380"/>
      <w:r w:rsidRPr="005401E2">
        <w:t>M</w:t>
      </w:r>
      <w:bookmarkEnd w:id="7"/>
      <w:r w:rsidR="000F27CA">
        <w:t>arket Drivers</w:t>
      </w:r>
      <w:bookmarkEnd w:id="8"/>
    </w:p>
    <w:p w:rsidR="009B76D6" w:rsidRPr="00301F4C" w:rsidRDefault="009B76D6" w:rsidP="00301F4C">
      <w:pPr>
        <w:rPr>
          <w:sz w:val="24"/>
        </w:rPr>
      </w:pPr>
      <w:r w:rsidRPr="00301F4C">
        <w:rPr>
          <w:sz w:val="24"/>
        </w:rPr>
        <w:t>Key market drivers necessitating such a solution include:</w:t>
      </w:r>
    </w:p>
    <w:p w:rsidR="00F1105A" w:rsidRPr="007E4DD3" w:rsidRDefault="00D76821" w:rsidP="00FD7D34">
      <w:pPr>
        <w:pStyle w:val="NoSpacing"/>
        <w:numPr>
          <w:ilvl w:val="0"/>
          <w:numId w:val="20"/>
        </w:numPr>
        <w:rPr>
          <w:sz w:val="24"/>
          <w:szCs w:val="24"/>
        </w:rPr>
      </w:pPr>
      <w:r>
        <w:rPr>
          <w:sz w:val="24"/>
          <w:szCs w:val="24"/>
        </w:rPr>
        <w:t>The critical stage that n</w:t>
      </w:r>
      <w:r w:rsidR="00F651B6">
        <w:rPr>
          <w:sz w:val="24"/>
          <w:szCs w:val="24"/>
        </w:rPr>
        <w:t xml:space="preserve">ational and global healthcare effectiveness is at </w:t>
      </w:r>
    </w:p>
    <w:p w:rsidR="00D76821" w:rsidRDefault="00D76821" w:rsidP="00FD7D34">
      <w:pPr>
        <w:pStyle w:val="NoSpacing"/>
        <w:numPr>
          <w:ilvl w:val="0"/>
          <w:numId w:val="20"/>
        </w:numPr>
        <w:rPr>
          <w:sz w:val="24"/>
          <w:szCs w:val="24"/>
        </w:rPr>
      </w:pPr>
      <w:r w:rsidRPr="00D76821">
        <w:rPr>
          <w:sz w:val="24"/>
          <w:szCs w:val="24"/>
        </w:rPr>
        <w:t>The importance of g</w:t>
      </w:r>
      <w:r w:rsidR="00F1105A" w:rsidRPr="00D76821">
        <w:rPr>
          <w:sz w:val="24"/>
          <w:szCs w:val="24"/>
        </w:rPr>
        <w:t xml:space="preserve">lobal health information exchange and payments </w:t>
      </w:r>
    </w:p>
    <w:p w:rsidR="00F1105A" w:rsidRPr="005406CD" w:rsidRDefault="00F1105A" w:rsidP="00FD7D34">
      <w:pPr>
        <w:pStyle w:val="NoSpacing"/>
        <w:numPr>
          <w:ilvl w:val="0"/>
          <w:numId w:val="20"/>
        </w:numPr>
        <w:rPr>
          <w:sz w:val="24"/>
          <w:szCs w:val="24"/>
          <w:highlight w:val="yellow"/>
        </w:rPr>
      </w:pPr>
      <w:r w:rsidRPr="00D76821">
        <w:rPr>
          <w:sz w:val="24"/>
          <w:szCs w:val="24"/>
        </w:rPr>
        <w:t xml:space="preserve">The </w:t>
      </w:r>
      <w:r w:rsidR="00D76821">
        <w:rPr>
          <w:sz w:val="24"/>
          <w:szCs w:val="24"/>
        </w:rPr>
        <w:t xml:space="preserve">value of the healthcare </w:t>
      </w:r>
      <w:r w:rsidRPr="00D76821">
        <w:rPr>
          <w:sz w:val="24"/>
          <w:szCs w:val="24"/>
        </w:rPr>
        <w:t xml:space="preserve">payment exchange is </w:t>
      </w:r>
      <w:r w:rsidR="00CD46B6">
        <w:rPr>
          <w:sz w:val="24"/>
          <w:szCs w:val="24"/>
          <w:highlight w:val="yellow"/>
        </w:rPr>
        <w:t>approximately $2.8</w:t>
      </w:r>
      <w:r w:rsidRPr="005406CD">
        <w:rPr>
          <w:sz w:val="24"/>
          <w:szCs w:val="24"/>
          <w:highlight w:val="yellow"/>
        </w:rPr>
        <w:t xml:space="preserve"> trillion</w:t>
      </w:r>
      <w:r w:rsidR="00CD46B6">
        <w:rPr>
          <w:sz w:val="24"/>
          <w:szCs w:val="24"/>
          <w:highlight w:val="yellow"/>
        </w:rPr>
        <w:t>*</w:t>
      </w:r>
    </w:p>
    <w:p w:rsidR="00F1105A" w:rsidRPr="007E4DD3" w:rsidRDefault="005406CD" w:rsidP="00FD7D34">
      <w:pPr>
        <w:pStyle w:val="NoSpacing"/>
        <w:numPr>
          <w:ilvl w:val="0"/>
          <w:numId w:val="20"/>
        </w:numPr>
        <w:rPr>
          <w:sz w:val="24"/>
          <w:szCs w:val="24"/>
        </w:rPr>
      </w:pPr>
      <w:hyperlink w:anchor="ARRA" w:history="1">
        <w:r w:rsidR="00F1105A" w:rsidRPr="00B7289A">
          <w:rPr>
            <w:rStyle w:val="Hyperlink"/>
            <w:sz w:val="24"/>
            <w:szCs w:val="24"/>
          </w:rPr>
          <w:t>ARRA</w:t>
        </w:r>
      </w:hyperlink>
      <w:r w:rsidR="00F1105A" w:rsidRPr="007E4DD3">
        <w:rPr>
          <w:sz w:val="24"/>
          <w:szCs w:val="24"/>
        </w:rPr>
        <w:t xml:space="preserve">, inclusive of </w:t>
      </w:r>
      <w:hyperlink w:anchor="HITECH" w:history="1">
        <w:r w:rsidR="00F1105A" w:rsidRPr="005016DA">
          <w:rPr>
            <w:rStyle w:val="Hyperlink"/>
            <w:sz w:val="24"/>
            <w:szCs w:val="24"/>
          </w:rPr>
          <w:t>HITECH</w:t>
        </w:r>
      </w:hyperlink>
      <w:r w:rsidR="00F1105A" w:rsidRPr="007E4DD3">
        <w:rPr>
          <w:sz w:val="24"/>
          <w:szCs w:val="24"/>
        </w:rPr>
        <w:t xml:space="preserve"> federal funding for health IT, is a high priority issue with funding that exceeds $20 billion</w:t>
      </w:r>
    </w:p>
    <w:p w:rsidR="00F1105A" w:rsidRPr="007E4DD3" w:rsidRDefault="00D76821" w:rsidP="00FD7D34">
      <w:pPr>
        <w:pStyle w:val="NoSpacing"/>
        <w:numPr>
          <w:ilvl w:val="0"/>
          <w:numId w:val="20"/>
        </w:numPr>
        <w:rPr>
          <w:sz w:val="24"/>
          <w:szCs w:val="24"/>
        </w:rPr>
      </w:pPr>
      <w:r>
        <w:rPr>
          <w:sz w:val="24"/>
          <w:szCs w:val="24"/>
        </w:rPr>
        <w:t>Funding requires demonstrating Meaningful U</w:t>
      </w:r>
      <w:r w:rsidR="00F1105A" w:rsidRPr="007E4DD3">
        <w:rPr>
          <w:sz w:val="24"/>
          <w:szCs w:val="24"/>
        </w:rPr>
        <w:t>se in a year over year timeframe</w:t>
      </w:r>
    </w:p>
    <w:p w:rsidR="00F1105A" w:rsidRPr="007E4DD3" w:rsidRDefault="00F1105A" w:rsidP="00FD7D34">
      <w:pPr>
        <w:pStyle w:val="NoSpacing"/>
        <w:numPr>
          <w:ilvl w:val="0"/>
          <w:numId w:val="20"/>
        </w:numPr>
        <w:rPr>
          <w:sz w:val="24"/>
          <w:szCs w:val="24"/>
        </w:rPr>
      </w:pPr>
      <w:r w:rsidRPr="007E4DD3">
        <w:rPr>
          <w:sz w:val="24"/>
          <w:szCs w:val="24"/>
        </w:rPr>
        <w:t>Adoption of health IT is incentivized initially via tax breaks for compliance but then non-compliance includes a penalty structure in future years</w:t>
      </w:r>
    </w:p>
    <w:p w:rsidR="00F1105A" w:rsidRPr="001D05B6" w:rsidRDefault="00F1105A" w:rsidP="00FD7D34">
      <w:pPr>
        <w:pStyle w:val="NoSpacing"/>
        <w:numPr>
          <w:ilvl w:val="0"/>
          <w:numId w:val="20"/>
        </w:numPr>
        <w:rPr>
          <w:sz w:val="24"/>
          <w:szCs w:val="24"/>
        </w:rPr>
      </w:pPr>
      <w:r w:rsidRPr="001D05B6">
        <w:rPr>
          <w:sz w:val="24"/>
          <w:szCs w:val="24"/>
        </w:rPr>
        <w:t>Robust exchang</w:t>
      </w:r>
      <w:r w:rsidR="00D76821">
        <w:rPr>
          <w:sz w:val="24"/>
          <w:szCs w:val="24"/>
        </w:rPr>
        <w:t>e of clinical and payment data a</w:t>
      </w:r>
      <w:r w:rsidRPr="001D05B6">
        <w:rPr>
          <w:sz w:val="24"/>
          <w:szCs w:val="24"/>
        </w:rPr>
        <w:t xml:space="preserve">ffects an entire spectrum of </w:t>
      </w:r>
      <w:hyperlink w:anchor="B2BB2C" w:history="1">
        <w:r w:rsidRPr="00B7289A">
          <w:rPr>
            <w:rStyle w:val="Hyperlink"/>
            <w:sz w:val="24"/>
            <w:szCs w:val="24"/>
          </w:rPr>
          <w:t>B2B</w:t>
        </w:r>
      </w:hyperlink>
      <w:r w:rsidRPr="001D05B6">
        <w:rPr>
          <w:sz w:val="24"/>
          <w:szCs w:val="24"/>
        </w:rPr>
        <w:t xml:space="preserve"> and ultimately consumer entities:</w:t>
      </w:r>
    </w:p>
    <w:p w:rsidR="00F1105A" w:rsidRPr="001D05B6" w:rsidRDefault="00F1105A" w:rsidP="00FD7D34">
      <w:pPr>
        <w:pStyle w:val="NoSpacing"/>
        <w:numPr>
          <w:ilvl w:val="0"/>
          <w:numId w:val="21"/>
        </w:numPr>
        <w:rPr>
          <w:sz w:val="24"/>
          <w:szCs w:val="24"/>
        </w:rPr>
      </w:pPr>
      <w:r w:rsidRPr="001D05B6">
        <w:rPr>
          <w:sz w:val="24"/>
          <w:szCs w:val="24"/>
        </w:rPr>
        <w:t>Providers</w:t>
      </w:r>
    </w:p>
    <w:p w:rsidR="00F1105A" w:rsidRPr="001D05B6" w:rsidRDefault="00F1105A" w:rsidP="00FD7D34">
      <w:pPr>
        <w:pStyle w:val="NoSpacing"/>
        <w:numPr>
          <w:ilvl w:val="0"/>
          <w:numId w:val="21"/>
        </w:numPr>
        <w:rPr>
          <w:sz w:val="24"/>
          <w:szCs w:val="24"/>
        </w:rPr>
      </w:pPr>
      <w:r w:rsidRPr="001D05B6">
        <w:rPr>
          <w:sz w:val="24"/>
          <w:szCs w:val="24"/>
        </w:rPr>
        <w:t>Insurance/Claims</w:t>
      </w:r>
    </w:p>
    <w:p w:rsidR="00F1105A" w:rsidRPr="001D05B6" w:rsidRDefault="00F1105A" w:rsidP="00FD7D34">
      <w:pPr>
        <w:pStyle w:val="NoSpacing"/>
        <w:numPr>
          <w:ilvl w:val="0"/>
          <w:numId w:val="21"/>
        </w:numPr>
        <w:rPr>
          <w:sz w:val="24"/>
          <w:szCs w:val="24"/>
        </w:rPr>
      </w:pPr>
      <w:r w:rsidRPr="001D05B6">
        <w:rPr>
          <w:sz w:val="24"/>
          <w:szCs w:val="24"/>
        </w:rPr>
        <w:t>Employers</w:t>
      </w:r>
    </w:p>
    <w:p w:rsidR="00F1105A" w:rsidRPr="001D05B6" w:rsidRDefault="00F1105A" w:rsidP="00FD7D34">
      <w:pPr>
        <w:pStyle w:val="NoSpacing"/>
        <w:numPr>
          <w:ilvl w:val="0"/>
          <w:numId w:val="21"/>
        </w:numPr>
        <w:rPr>
          <w:sz w:val="24"/>
          <w:szCs w:val="24"/>
        </w:rPr>
      </w:pPr>
      <w:r w:rsidRPr="001D05B6">
        <w:rPr>
          <w:sz w:val="24"/>
          <w:szCs w:val="24"/>
        </w:rPr>
        <w:t>Banks/Financial Institutions</w:t>
      </w:r>
    </w:p>
    <w:p w:rsidR="00F1105A" w:rsidRPr="001D05B6" w:rsidRDefault="00F1105A" w:rsidP="00FD7D34">
      <w:pPr>
        <w:pStyle w:val="NoSpacing"/>
        <w:numPr>
          <w:ilvl w:val="0"/>
          <w:numId w:val="21"/>
        </w:numPr>
        <w:rPr>
          <w:sz w:val="24"/>
          <w:szCs w:val="24"/>
        </w:rPr>
      </w:pPr>
      <w:r w:rsidRPr="001D05B6">
        <w:rPr>
          <w:sz w:val="24"/>
          <w:szCs w:val="24"/>
        </w:rPr>
        <w:t>Federal Entities (</w:t>
      </w:r>
      <w:hyperlink w:anchor="HHS" w:history="1">
        <w:r w:rsidRPr="00225529">
          <w:rPr>
            <w:rStyle w:val="Hyperlink"/>
            <w:sz w:val="24"/>
            <w:szCs w:val="24"/>
          </w:rPr>
          <w:t>HHS</w:t>
        </w:r>
      </w:hyperlink>
      <w:r w:rsidRPr="001D05B6">
        <w:rPr>
          <w:sz w:val="24"/>
          <w:szCs w:val="24"/>
        </w:rPr>
        <w:t>, Federal Reserve System, CDC etc.,)</w:t>
      </w:r>
    </w:p>
    <w:p w:rsidR="00F1105A" w:rsidRPr="001D05B6" w:rsidRDefault="00F1105A" w:rsidP="00FD7D34">
      <w:pPr>
        <w:pStyle w:val="NoSpacing"/>
        <w:numPr>
          <w:ilvl w:val="0"/>
          <w:numId w:val="21"/>
        </w:numPr>
        <w:rPr>
          <w:sz w:val="24"/>
          <w:szCs w:val="24"/>
        </w:rPr>
      </w:pPr>
      <w:r w:rsidRPr="001D05B6">
        <w:rPr>
          <w:sz w:val="24"/>
          <w:szCs w:val="24"/>
        </w:rPr>
        <w:t>State Level Administration &amp; Regulation</w:t>
      </w:r>
    </w:p>
    <w:p w:rsidR="00F1105A" w:rsidRPr="001D05B6" w:rsidRDefault="00F1105A" w:rsidP="00FD7D34">
      <w:pPr>
        <w:pStyle w:val="NoSpacing"/>
        <w:numPr>
          <w:ilvl w:val="0"/>
          <w:numId w:val="21"/>
        </w:numPr>
        <w:rPr>
          <w:sz w:val="24"/>
          <w:szCs w:val="24"/>
        </w:rPr>
      </w:pPr>
      <w:r w:rsidRPr="001D05B6">
        <w:rPr>
          <w:sz w:val="24"/>
          <w:szCs w:val="24"/>
        </w:rPr>
        <w:t>Consumers</w:t>
      </w:r>
    </w:p>
    <w:p w:rsidR="00F1105A" w:rsidRDefault="00F1105A" w:rsidP="00FD7D34">
      <w:pPr>
        <w:pStyle w:val="NoSpacing"/>
        <w:numPr>
          <w:ilvl w:val="0"/>
          <w:numId w:val="21"/>
        </w:numPr>
        <w:rPr>
          <w:sz w:val="24"/>
          <w:szCs w:val="24"/>
        </w:rPr>
      </w:pPr>
      <w:r w:rsidRPr="001D05B6">
        <w:rPr>
          <w:sz w:val="24"/>
          <w:szCs w:val="24"/>
        </w:rPr>
        <w:t>Value added Vendors (</w:t>
      </w:r>
      <w:hyperlink w:anchor="HIE" w:history="1">
        <w:r w:rsidRPr="005016DA">
          <w:rPr>
            <w:rStyle w:val="Hyperlink"/>
            <w:sz w:val="24"/>
            <w:szCs w:val="24"/>
          </w:rPr>
          <w:t>HIE</w:t>
        </w:r>
      </w:hyperlink>
      <w:r w:rsidRPr="001D05B6">
        <w:rPr>
          <w:sz w:val="24"/>
          <w:szCs w:val="24"/>
        </w:rPr>
        <w:t>’s/</w:t>
      </w:r>
      <w:hyperlink w:anchor="RHIO" w:history="1">
        <w:r w:rsidRPr="009A2217">
          <w:rPr>
            <w:rStyle w:val="Hyperlink"/>
            <w:sz w:val="24"/>
            <w:szCs w:val="24"/>
          </w:rPr>
          <w:t>RHIO</w:t>
        </w:r>
      </w:hyperlink>
      <w:r w:rsidRPr="001D05B6">
        <w:rPr>
          <w:sz w:val="24"/>
          <w:szCs w:val="24"/>
        </w:rPr>
        <w:t>’s, Health</w:t>
      </w:r>
      <w:r>
        <w:rPr>
          <w:sz w:val="24"/>
          <w:szCs w:val="24"/>
        </w:rPr>
        <w:t xml:space="preserve"> Vaults, Software Vendors etc.</w:t>
      </w:r>
      <w:r w:rsidR="00F651B6">
        <w:rPr>
          <w:sz w:val="24"/>
          <w:szCs w:val="24"/>
        </w:rPr>
        <w:t>)</w:t>
      </w:r>
    </w:p>
    <w:p w:rsidR="00CD46B6" w:rsidRDefault="00CD46B6" w:rsidP="00FD7D34">
      <w:pPr>
        <w:pStyle w:val="NoSpacing"/>
        <w:numPr>
          <w:ilvl w:val="0"/>
          <w:numId w:val="21"/>
        </w:numPr>
        <w:rPr>
          <w:sz w:val="24"/>
          <w:szCs w:val="24"/>
        </w:rPr>
      </w:pPr>
    </w:p>
    <w:p w:rsidR="00CD46B6" w:rsidRPr="005209E3" w:rsidRDefault="00CD46B6" w:rsidP="00CD46B6">
      <w:pPr>
        <w:pStyle w:val="NoSpacing"/>
        <w:rPr>
          <w:sz w:val="24"/>
          <w:szCs w:val="24"/>
        </w:rPr>
      </w:pPr>
      <w:r>
        <w:rPr>
          <w:sz w:val="24"/>
          <w:szCs w:val="24"/>
        </w:rPr>
        <w:t>*</w:t>
      </w:r>
      <w:r w:rsidRPr="00CD46B6">
        <w:rPr>
          <w:i/>
          <w:sz w:val="18"/>
          <w:szCs w:val="18"/>
        </w:rPr>
        <w:t>Plunkett Research LTD,  2013</w:t>
      </w:r>
    </w:p>
    <w:p w:rsidR="00F1105A" w:rsidRPr="00D903CD" w:rsidRDefault="000F27CA" w:rsidP="00D903CD">
      <w:pPr>
        <w:pStyle w:val="Heading2"/>
      </w:pPr>
      <w:bookmarkStart w:id="9" w:name="_Toc345348381"/>
      <w:r>
        <w:lastRenderedPageBreak/>
        <w:t>Key Solution Principles</w:t>
      </w:r>
      <w:bookmarkEnd w:id="9"/>
    </w:p>
    <w:p w:rsidR="00F1105A" w:rsidRPr="00433CA3" w:rsidRDefault="00F1105A" w:rsidP="00F1105A">
      <w:pPr>
        <w:pStyle w:val="NoSpacing"/>
        <w:rPr>
          <w:sz w:val="24"/>
          <w:szCs w:val="24"/>
        </w:rPr>
      </w:pPr>
      <w:r w:rsidRPr="00433CA3">
        <w:rPr>
          <w:sz w:val="24"/>
          <w:szCs w:val="24"/>
        </w:rPr>
        <w:t>In order to be successful, a network for healthcare payment and remittance data should adhere to several key principles:</w:t>
      </w:r>
    </w:p>
    <w:p w:rsidR="00F1105A" w:rsidRPr="00433CA3" w:rsidRDefault="00F1105A" w:rsidP="00FD7D34">
      <w:pPr>
        <w:pStyle w:val="NoSpacing"/>
        <w:numPr>
          <w:ilvl w:val="0"/>
          <w:numId w:val="8"/>
        </w:numPr>
        <w:rPr>
          <w:sz w:val="24"/>
          <w:szCs w:val="24"/>
        </w:rPr>
      </w:pPr>
      <w:r w:rsidRPr="00433CA3">
        <w:rPr>
          <w:sz w:val="24"/>
          <w:szCs w:val="24"/>
        </w:rPr>
        <w:t xml:space="preserve">Foster organic adoption </w:t>
      </w:r>
      <w:r w:rsidR="00D76821">
        <w:rPr>
          <w:sz w:val="24"/>
          <w:szCs w:val="24"/>
        </w:rPr>
        <w:t xml:space="preserve">based on a </w:t>
      </w:r>
      <w:r w:rsidRPr="00433CA3">
        <w:rPr>
          <w:sz w:val="24"/>
          <w:szCs w:val="24"/>
        </w:rPr>
        <w:t xml:space="preserve"> compelling ROI</w:t>
      </w:r>
    </w:p>
    <w:p w:rsidR="00F1105A" w:rsidRPr="00584FC7" w:rsidRDefault="00F1105A" w:rsidP="00FD7D34">
      <w:pPr>
        <w:pStyle w:val="ListParagraph"/>
        <w:numPr>
          <w:ilvl w:val="0"/>
          <w:numId w:val="8"/>
        </w:numPr>
        <w:tabs>
          <w:tab w:val="left" w:pos="4245"/>
        </w:tabs>
        <w:rPr>
          <w:rFonts w:cs="Segoe UI"/>
          <w:sz w:val="24"/>
          <w:szCs w:val="24"/>
        </w:rPr>
      </w:pPr>
      <w:r>
        <w:rPr>
          <w:rFonts w:cs="Segoe UI"/>
          <w:sz w:val="24"/>
          <w:szCs w:val="24"/>
        </w:rPr>
        <w:t>Be supported at the federal</w:t>
      </w:r>
      <w:r w:rsidRPr="00584FC7">
        <w:rPr>
          <w:rFonts w:cs="Segoe UI"/>
          <w:sz w:val="24"/>
          <w:szCs w:val="24"/>
        </w:rPr>
        <w:t xml:space="preserve">, state, and </w:t>
      </w:r>
      <w:r>
        <w:rPr>
          <w:rFonts w:cs="Segoe UI"/>
          <w:sz w:val="24"/>
          <w:szCs w:val="24"/>
        </w:rPr>
        <w:t xml:space="preserve">commercial </w:t>
      </w:r>
      <w:r w:rsidRPr="00584FC7">
        <w:rPr>
          <w:rFonts w:cs="Segoe UI"/>
          <w:sz w:val="24"/>
          <w:szCs w:val="24"/>
        </w:rPr>
        <w:t>bank</w:t>
      </w:r>
      <w:r w:rsidR="00D76821">
        <w:rPr>
          <w:rFonts w:cs="Segoe UI"/>
          <w:sz w:val="24"/>
          <w:szCs w:val="24"/>
        </w:rPr>
        <w:t xml:space="preserve">ing </w:t>
      </w:r>
      <w:r w:rsidRPr="00584FC7">
        <w:rPr>
          <w:rFonts w:cs="Segoe UI"/>
          <w:sz w:val="24"/>
          <w:szCs w:val="24"/>
        </w:rPr>
        <w:t xml:space="preserve"> levels</w:t>
      </w:r>
    </w:p>
    <w:p w:rsidR="00F1105A" w:rsidRPr="00584FC7" w:rsidRDefault="00D76821" w:rsidP="00FD7D34">
      <w:pPr>
        <w:pStyle w:val="ListParagraph"/>
        <w:numPr>
          <w:ilvl w:val="0"/>
          <w:numId w:val="8"/>
        </w:numPr>
        <w:tabs>
          <w:tab w:val="left" w:pos="4245"/>
        </w:tabs>
        <w:rPr>
          <w:rFonts w:cs="Segoe UI"/>
          <w:sz w:val="24"/>
          <w:szCs w:val="24"/>
        </w:rPr>
      </w:pPr>
      <w:r>
        <w:rPr>
          <w:rFonts w:cs="Segoe UI"/>
          <w:sz w:val="24"/>
          <w:szCs w:val="24"/>
        </w:rPr>
        <w:t xml:space="preserve">A </w:t>
      </w:r>
      <w:r w:rsidR="00F1105A">
        <w:rPr>
          <w:rFonts w:cs="Segoe UI"/>
          <w:sz w:val="24"/>
          <w:szCs w:val="24"/>
        </w:rPr>
        <w:t xml:space="preserve">security </w:t>
      </w:r>
      <w:r>
        <w:rPr>
          <w:rFonts w:cs="Segoe UI"/>
          <w:sz w:val="24"/>
          <w:szCs w:val="24"/>
        </w:rPr>
        <w:t xml:space="preserve">framework </w:t>
      </w:r>
      <w:r w:rsidR="00F1105A">
        <w:rPr>
          <w:rFonts w:cs="Segoe UI"/>
          <w:sz w:val="24"/>
          <w:szCs w:val="24"/>
        </w:rPr>
        <w:t>that</w:t>
      </w:r>
      <w:r w:rsidR="00F1105A" w:rsidRPr="00584FC7">
        <w:rPr>
          <w:rFonts w:cs="Segoe UI"/>
          <w:sz w:val="24"/>
          <w:szCs w:val="24"/>
        </w:rPr>
        <w:t xml:space="preserve"> lower</w:t>
      </w:r>
      <w:r w:rsidR="00F1105A">
        <w:rPr>
          <w:rFonts w:cs="Segoe UI"/>
          <w:sz w:val="24"/>
          <w:szCs w:val="24"/>
        </w:rPr>
        <w:t>s</w:t>
      </w:r>
      <w:r w:rsidR="00F1105A" w:rsidRPr="00584FC7">
        <w:rPr>
          <w:rFonts w:cs="Segoe UI"/>
          <w:sz w:val="24"/>
          <w:szCs w:val="24"/>
        </w:rPr>
        <w:t xml:space="preserve"> liability barriers and speed</w:t>
      </w:r>
      <w:r w:rsidR="00F1105A">
        <w:rPr>
          <w:rFonts w:cs="Segoe UI"/>
          <w:sz w:val="24"/>
          <w:szCs w:val="24"/>
        </w:rPr>
        <w:t>s</w:t>
      </w:r>
      <w:r w:rsidR="00F1105A" w:rsidRPr="00584FC7">
        <w:rPr>
          <w:rFonts w:cs="Segoe UI"/>
          <w:sz w:val="24"/>
          <w:szCs w:val="24"/>
        </w:rPr>
        <w:t xml:space="preserve"> adoption</w:t>
      </w:r>
    </w:p>
    <w:p w:rsidR="00F1105A" w:rsidRPr="00584FC7" w:rsidRDefault="00F1105A" w:rsidP="00FD7D34">
      <w:pPr>
        <w:pStyle w:val="ListParagraph"/>
        <w:numPr>
          <w:ilvl w:val="0"/>
          <w:numId w:val="8"/>
        </w:numPr>
        <w:tabs>
          <w:tab w:val="left" w:pos="4245"/>
        </w:tabs>
        <w:rPr>
          <w:rFonts w:cs="Segoe UI"/>
          <w:sz w:val="24"/>
          <w:szCs w:val="24"/>
        </w:rPr>
      </w:pPr>
      <w:r>
        <w:rPr>
          <w:rFonts w:cs="Segoe UI"/>
          <w:sz w:val="24"/>
          <w:szCs w:val="24"/>
        </w:rPr>
        <w:t>Increase</w:t>
      </w:r>
      <w:r w:rsidRPr="00584FC7">
        <w:rPr>
          <w:rFonts w:cs="Segoe UI"/>
          <w:sz w:val="24"/>
          <w:szCs w:val="24"/>
        </w:rPr>
        <w:t xml:space="preserve"> payload capacity </w:t>
      </w:r>
      <w:r>
        <w:rPr>
          <w:rFonts w:cs="Segoe UI"/>
          <w:sz w:val="24"/>
          <w:szCs w:val="24"/>
        </w:rPr>
        <w:t xml:space="preserve">(versus the current </w:t>
      </w:r>
      <w:hyperlink w:anchor="ACH" w:history="1">
        <w:r w:rsidRPr="00B7289A">
          <w:rPr>
            <w:rStyle w:val="Hyperlink"/>
            <w:rFonts w:cs="Segoe UI"/>
            <w:sz w:val="24"/>
            <w:szCs w:val="24"/>
          </w:rPr>
          <w:t>ACH</w:t>
        </w:r>
      </w:hyperlink>
      <w:r>
        <w:rPr>
          <w:rFonts w:cs="Segoe UI"/>
          <w:sz w:val="24"/>
          <w:szCs w:val="24"/>
        </w:rPr>
        <w:t xml:space="preserve"> options) </w:t>
      </w:r>
      <w:r w:rsidRPr="00584FC7">
        <w:rPr>
          <w:rFonts w:cs="Segoe UI"/>
          <w:sz w:val="24"/>
          <w:szCs w:val="24"/>
        </w:rPr>
        <w:t>or facilitate reconciliation</w:t>
      </w:r>
      <w:r>
        <w:rPr>
          <w:rFonts w:cs="Segoe UI"/>
          <w:sz w:val="24"/>
          <w:szCs w:val="24"/>
        </w:rPr>
        <w:t xml:space="preserve"> of payments</w:t>
      </w:r>
      <w:r w:rsidRPr="00584FC7">
        <w:rPr>
          <w:rFonts w:cs="Segoe UI"/>
          <w:sz w:val="24"/>
          <w:szCs w:val="24"/>
        </w:rPr>
        <w:t xml:space="preserve"> data </w:t>
      </w:r>
    </w:p>
    <w:p w:rsidR="00F1105A" w:rsidRPr="00584FC7" w:rsidRDefault="00F1105A" w:rsidP="00FD7D34">
      <w:pPr>
        <w:pStyle w:val="ListParagraph"/>
        <w:numPr>
          <w:ilvl w:val="0"/>
          <w:numId w:val="8"/>
        </w:numPr>
        <w:tabs>
          <w:tab w:val="left" w:pos="4245"/>
        </w:tabs>
        <w:rPr>
          <w:rFonts w:cs="Segoe UI"/>
          <w:sz w:val="24"/>
          <w:szCs w:val="24"/>
        </w:rPr>
      </w:pPr>
      <w:r>
        <w:rPr>
          <w:rFonts w:cs="Segoe UI"/>
          <w:sz w:val="24"/>
          <w:szCs w:val="24"/>
        </w:rPr>
        <w:t>A</w:t>
      </w:r>
      <w:r w:rsidRPr="00584FC7">
        <w:rPr>
          <w:rFonts w:cs="Segoe UI"/>
          <w:sz w:val="24"/>
          <w:szCs w:val="24"/>
        </w:rPr>
        <w:t>llow for phased implementation(s)</w:t>
      </w:r>
    </w:p>
    <w:p w:rsidR="00F1105A" w:rsidRPr="00584FC7" w:rsidRDefault="007D5CCA" w:rsidP="00FD7D34">
      <w:pPr>
        <w:pStyle w:val="ListParagraph"/>
        <w:numPr>
          <w:ilvl w:val="0"/>
          <w:numId w:val="8"/>
        </w:numPr>
        <w:tabs>
          <w:tab w:val="left" w:pos="4245"/>
        </w:tabs>
        <w:rPr>
          <w:rFonts w:cs="Segoe UI"/>
          <w:sz w:val="24"/>
          <w:szCs w:val="24"/>
        </w:rPr>
      </w:pPr>
      <w:r>
        <w:rPr>
          <w:rFonts w:cs="Segoe UI"/>
          <w:sz w:val="24"/>
          <w:szCs w:val="24"/>
        </w:rPr>
        <w:t>Provide independence from</w:t>
      </w:r>
      <w:r w:rsidR="00F1105A">
        <w:rPr>
          <w:rFonts w:cs="Segoe UI"/>
          <w:sz w:val="24"/>
          <w:szCs w:val="24"/>
        </w:rPr>
        <w:t xml:space="preserve"> a</w:t>
      </w:r>
      <w:r w:rsidR="00F1105A" w:rsidRPr="00584FC7">
        <w:rPr>
          <w:rFonts w:cs="Segoe UI"/>
          <w:sz w:val="24"/>
          <w:szCs w:val="24"/>
        </w:rPr>
        <w:t xml:space="preserve"> single standard payment message</w:t>
      </w:r>
    </w:p>
    <w:p w:rsidR="00F1105A" w:rsidRPr="00584FC7" w:rsidRDefault="00F1105A" w:rsidP="00FD7D34">
      <w:pPr>
        <w:pStyle w:val="ListParagraph"/>
        <w:numPr>
          <w:ilvl w:val="0"/>
          <w:numId w:val="8"/>
        </w:numPr>
        <w:tabs>
          <w:tab w:val="left" w:pos="4245"/>
        </w:tabs>
        <w:rPr>
          <w:rFonts w:cs="Segoe UI"/>
          <w:sz w:val="24"/>
          <w:szCs w:val="24"/>
        </w:rPr>
      </w:pPr>
      <w:r>
        <w:rPr>
          <w:rFonts w:cs="Segoe UI"/>
          <w:sz w:val="24"/>
          <w:szCs w:val="24"/>
        </w:rPr>
        <w:t>A</w:t>
      </w:r>
      <w:r w:rsidRPr="00584FC7">
        <w:rPr>
          <w:rFonts w:cs="Segoe UI"/>
          <w:sz w:val="24"/>
          <w:szCs w:val="24"/>
        </w:rPr>
        <w:t>llow counterparties in the network to create their own bi-lateral agreements for service differentiation</w:t>
      </w:r>
    </w:p>
    <w:p w:rsidR="00F1105A" w:rsidRPr="00584FC7" w:rsidRDefault="00F1105A" w:rsidP="00FD7D34">
      <w:pPr>
        <w:pStyle w:val="ListParagraph"/>
        <w:numPr>
          <w:ilvl w:val="0"/>
          <w:numId w:val="8"/>
        </w:numPr>
        <w:tabs>
          <w:tab w:val="left" w:pos="4245"/>
        </w:tabs>
        <w:rPr>
          <w:rFonts w:cs="Segoe UI"/>
          <w:sz w:val="24"/>
          <w:szCs w:val="24"/>
        </w:rPr>
      </w:pPr>
      <w:r>
        <w:rPr>
          <w:rFonts w:cs="Segoe UI"/>
          <w:sz w:val="24"/>
          <w:szCs w:val="24"/>
        </w:rPr>
        <w:t>C</w:t>
      </w:r>
      <w:r w:rsidRPr="00584FC7">
        <w:rPr>
          <w:rFonts w:cs="Segoe UI"/>
          <w:sz w:val="24"/>
          <w:szCs w:val="24"/>
        </w:rPr>
        <w:t>reate financial incentive</w:t>
      </w:r>
      <w:r w:rsidR="00D76821">
        <w:rPr>
          <w:rFonts w:cs="Segoe UI"/>
          <w:sz w:val="24"/>
          <w:szCs w:val="24"/>
        </w:rPr>
        <w:t>s</w:t>
      </w:r>
      <w:r w:rsidRPr="00584FC7">
        <w:rPr>
          <w:rFonts w:cs="Segoe UI"/>
          <w:sz w:val="24"/>
          <w:szCs w:val="24"/>
        </w:rPr>
        <w:t xml:space="preserve"> for participants (Highest value/lowest cost)</w:t>
      </w:r>
    </w:p>
    <w:p w:rsidR="00F1105A" w:rsidRPr="00584FC7" w:rsidRDefault="00F1105A" w:rsidP="00FD7D34">
      <w:pPr>
        <w:pStyle w:val="ListParagraph"/>
        <w:numPr>
          <w:ilvl w:val="0"/>
          <w:numId w:val="8"/>
        </w:numPr>
        <w:tabs>
          <w:tab w:val="left" w:pos="4245"/>
        </w:tabs>
        <w:rPr>
          <w:rFonts w:cs="Segoe UI"/>
          <w:sz w:val="24"/>
          <w:szCs w:val="24"/>
        </w:rPr>
      </w:pPr>
      <w:r>
        <w:rPr>
          <w:rFonts w:cs="Segoe UI"/>
          <w:sz w:val="24"/>
          <w:szCs w:val="24"/>
        </w:rPr>
        <w:t>Avoid</w:t>
      </w:r>
      <w:r w:rsidRPr="00584FC7">
        <w:rPr>
          <w:rFonts w:cs="Segoe UI"/>
          <w:sz w:val="24"/>
          <w:szCs w:val="24"/>
        </w:rPr>
        <w:t xml:space="preserve"> single large capital concentration or bottleneck project (must rebuild the airplane while in flight!)</w:t>
      </w:r>
    </w:p>
    <w:p w:rsidR="00F1105A" w:rsidRPr="00584FC7" w:rsidRDefault="007D5CCA" w:rsidP="00FD7D34">
      <w:pPr>
        <w:pStyle w:val="ListParagraph"/>
        <w:numPr>
          <w:ilvl w:val="0"/>
          <w:numId w:val="8"/>
        </w:numPr>
        <w:tabs>
          <w:tab w:val="left" w:pos="4245"/>
        </w:tabs>
        <w:rPr>
          <w:rFonts w:cs="Segoe UI"/>
          <w:sz w:val="24"/>
          <w:szCs w:val="24"/>
        </w:rPr>
      </w:pPr>
      <w:r>
        <w:rPr>
          <w:rFonts w:cs="Segoe UI"/>
          <w:sz w:val="24"/>
          <w:szCs w:val="24"/>
        </w:rPr>
        <w:t>Guarantee</w:t>
      </w:r>
      <w:r w:rsidR="00F1105A" w:rsidRPr="00584FC7">
        <w:rPr>
          <w:rFonts w:cs="Segoe UI"/>
          <w:sz w:val="24"/>
          <w:szCs w:val="24"/>
        </w:rPr>
        <w:t xml:space="preserve"> delivery and </w:t>
      </w:r>
      <w:r>
        <w:rPr>
          <w:rFonts w:cs="Segoe UI"/>
          <w:sz w:val="24"/>
          <w:szCs w:val="24"/>
        </w:rPr>
        <w:t xml:space="preserve">provide </w:t>
      </w:r>
      <w:r w:rsidR="00F1105A" w:rsidRPr="00584FC7">
        <w:rPr>
          <w:rFonts w:cs="Segoe UI"/>
          <w:sz w:val="24"/>
          <w:szCs w:val="24"/>
        </w:rPr>
        <w:t>non-repudiation</w:t>
      </w:r>
    </w:p>
    <w:p w:rsidR="00F1105A" w:rsidRPr="00584FC7" w:rsidRDefault="00F1105A" w:rsidP="00FD7D34">
      <w:pPr>
        <w:pStyle w:val="ListParagraph"/>
        <w:numPr>
          <w:ilvl w:val="0"/>
          <w:numId w:val="8"/>
        </w:numPr>
        <w:tabs>
          <w:tab w:val="left" w:pos="4245"/>
        </w:tabs>
        <w:rPr>
          <w:rFonts w:cs="Segoe UI"/>
          <w:sz w:val="24"/>
          <w:szCs w:val="24"/>
        </w:rPr>
      </w:pPr>
      <w:r>
        <w:rPr>
          <w:rFonts w:cs="Segoe UI"/>
          <w:sz w:val="24"/>
          <w:szCs w:val="24"/>
        </w:rPr>
        <w:t>C</w:t>
      </w:r>
      <w:r w:rsidRPr="00584FC7">
        <w:rPr>
          <w:rFonts w:cs="Segoe UI"/>
          <w:sz w:val="24"/>
          <w:szCs w:val="24"/>
        </w:rPr>
        <w:t>reate common addressing, billing and delivery standards without prescribing or reading the internal content between the counterparties</w:t>
      </w:r>
    </w:p>
    <w:p w:rsidR="00F1105A" w:rsidRPr="00584FC7" w:rsidRDefault="007D5CCA" w:rsidP="00FD7D34">
      <w:pPr>
        <w:pStyle w:val="ListParagraph"/>
        <w:numPr>
          <w:ilvl w:val="0"/>
          <w:numId w:val="8"/>
        </w:numPr>
        <w:tabs>
          <w:tab w:val="left" w:pos="4245"/>
        </w:tabs>
        <w:rPr>
          <w:rFonts w:cs="Segoe UI"/>
          <w:sz w:val="24"/>
          <w:szCs w:val="24"/>
        </w:rPr>
      </w:pPr>
      <w:r>
        <w:rPr>
          <w:rFonts w:cs="Segoe UI"/>
          <w:sz w:val="24"/>
          <w:szCs w:val="24"/>
        </w:rPr>
        <w:t>Meet</w:t>
      </w:r>
      <w:r w:rsidR="00F1105A" w:rsidRPr="00584FC7">
        <w:rPr>
          <w:rFonts w:cs="Segoe UI"/>
          <w:sz w:val="24"/>
          <w:szCs w:val="24"/>
        </w:rPr>
        <w:t xml:space="preserve"> regulatory, audit</w:t>
      </w:r>
      <w:r>
        <w:rPr>
          <w:rFonts w:cs="Segoe UI"/>
          <w:sz w:val="24"/>
          <w:szCs w:val="24"/>
        </w:rPr>
        <w:t>,</w:t>
      </w:r>
      <w:r w:rsidR="00F1105A" w:rsidRPr="00584FC7">
        <w:rPr>
          <w:rFonts w:cs="Segoe UI"/>
          <w:sz w:val="24"/>
          <w:szCs w:val="24"/>
        </w:rPr>
        <w:t xml:space="preserve"> and compliance hurdles fo</w:t>
      </w:r>
      <w:r w:rsidR="00F1105A">
        <w:rPr>
          <w:rFonts w:cs="Segoe UI"/>
          <w:sz w:val="24"/>
          <w:szCs w:val="24"/>
        </w:rPr>
        <w:t xml:space="preserve">r </w:t>
      </w:r>
      <w:hyperlink w:anchor="HIPAA" w:history="1">
        <w:r w:rsidR="00F1105A" w:rsidRPr="005016DA">
          <w:rPr>
            <w:rStyle w:val="Hyperlink"/>
            <w:rFonts w:cs="Segoe UI"/>
            <w:sz w:val="24"/>
            <w:szCs w:val="24"/>
          </w:rPr>
          <w:t>HIPAA</w:t>
        </w:r>
      </w:hyperlink>
      <w:r w:rsidR="00F1105A" w:rsidRPr="00584FC7">
        <w:rPr>
          <w:rFonts w:cs="Segoe UI"/>
          <w:sz w:val="24"/>
          <w:szCs w:val="24"/>
        </w:rPr>
        <w:t>, SOX</w:t>
      </w:r>
      <w:r w:rsidR="00E214C7">
        <w:rPr>
          <w:rFonts w:cs="Segoe UI"/>
          <w:sz w:val="24"/>
          <w:szCs w:val="24"/>
        </w:rPr>
        <w:t>, FACTA</w:t>
      </w:r>
      <w:r w:rsidR="00F1105A">
        <w:rPr>
          <w:rFonts w:cs="Segoe UI"/>
          <w:sz w:val="24"/>
          <w:szCs w:val="24"/>
        </w:rPr>
        <w:t xml:space="preserve">, </w:t>
      </w:r>
      <w:r w:rsidR="00F1105A" w:rsidRPr="00584FC7">
        <w:rPr>
          <w:rFonts w:cs="Segoe UI"/>
          <w:sz w:val="24"/>
          <w:szCs w:val="24"/>
        </w:rPr>
        <w:t>etc</w:t>
      </w:r>
      <w:r w:rsidR="00F1105A">
        <w:rPr>
          <w:rFonts w:cs="Segoe UI"/>
          <w:sz w:val="24"/>
          <w:szCs w:val="24"/>
        </w:rPr>
        <w:t>.</w:t>
      </w:r>
    </w:p>
    <w:p w:rsidR="00F1105A" w:rsidRPr="002647DD" w:rsidRDefault="00F1105A" w:rsidP="00FD7D34">
      <w:pPr>
        <w:pStyle w:val="ListParagraph"/>
        <w:numPr>
          <w:ilvl w:val="0"/>
          <w:numId w:val="8"/>
        </w:numPr>
        <w:tabs>
          <w:tab w:val="left" w:pos="4245"/>
        </w:tabs>
        <w:rPr>
          <w:rFonts w:cs="Segoe UI"/>
          <w:sz w:val="24"/>
          <w:szCs w:val="24"/>
        </w:rPr>
      </w:pPr>
      <w:r>
        <w:rPr>
          <w:rFonts w:cs="Segoe UI"/>
          <w:sz w:val="24"/>
          <w:szCs w:val="24"/>
        </w:rPr>
        <w:t xml:space="preserve">Implement </w:t>
      </w:r>
      <w:r w:rsidR="00E214C7">
        <w:rPr>
          <w:rFonts w:cs="Segoe UI"/>
          <w:sz w:val="24"/>
          <w:szCs w:val="24"/>
        </w:rPr>
        <w:t>a</w:t>
      </w:r>
      <w:r w:rsidR="00E214C7" w:rsidRPr="00FB368A">
        <w:rPr>
          <w:rFonts w:cs="Segoe UI"/>
          <w:sz w:val="24"/>
          <w:szCs w:val="24"/>
        </w:rPr>
        <w:t xml:space="preserve"> pilot</w:t>
      </w:r>
      <w:r w:rsidRPr="00FB368A">
        <w:rPr>
          <w:rFonts w:cs="Segoe UI"/>
          <w:sz w:val="24"/>
          <w:szCs w:val="24"/>
        </w:rPr>
        <w:t xml:space="preserve"> project</w:t>
      </w:r>
      <w:r w:rsidRPr="00584FC7">
        <w:rPr>
          <w:rFonts w:cs="Segoe UI"/>
          <w:sz w:val="24"/>
          <w:szCs w:val="24"/>
        </w:rPr>
        <w:t xml:space="preserve"> with specific and measurable metrics of success</w:t>
      </w:r>
    </w:p>
    <w:p w:rsidR="007D5CCA" w:rsidRPr="00087288" w:rsidRDefault="007D5CCA" w:rsidP="005401E2">
      <w:pPr>
        <w:pStyle w:val="Heading2"/>
      </w:pPr>
      <w:bookmarkStart w:id="10" w:name="_Toc340052369"/>
      <w:bookmarkStart w:id="11" w:name="_Toc345348382"/>
      <w:r w:rsidRPr="00087288">
        <w:t>HealthCare Payment</w:t>
      </w:r>
      <w:r>
        <w:t>s</w:t>
      </w:r>
      <w:r w:rsidRPr="005401E2">
        <w:t>Hub</w:t>
      </w:r>
      <w:r w:rsidRPr="00087288">
        <w:t xml:space="preserve"> – Concept</w:t>
      </w:r>
      <w:bookmarkEnd w:id="10"/>
      <w:bookmarkEnd w:id="11"/>
    </w:p>
    <w:p w:rsidR="00F247A1" w:rsidRDefault="00F1105A" w:rsidP="00F1105A">
      <w:pPr>
        <w:pStyle w:val="NoSpacing"/>
        <w:rPr>
          <w:sz w:val="24"/>
          <w:szCs w:val="24"/>
        </w:rPr>
      </w:pPr>
      <w:r w:rsidRPr="00F74556">
        <w:rPr>
          <w:sz w:val="24"/>
          <w:szCs w:val="24"/>
        </w:rPr>
        <w:t xml:space="preserve">Banks with an interest in forwarding or moving files containing </w:t>
      </w:r>
      <w:r w:rsidR="008114CF">
        <w:rPr>
          <w:sz w:val="24"/>
          <w:szCs w:val="24"/>
        </w:rPr>
        <w:t>protected</w:t>
      </w:r>
      <w:r w:rsidRPr="00F74556">
        <w:rPr>
          <w:sz w:val="24"/>
          <w:szCs w:val="24"/>
        </w:rPr>
        <w:t xml:space="preserve"> health information</w:t>
      </w:r>
      <w:r w:rsidR="009B76D6">
        <w:rPr>
          <w:sz w:val="24"/>
          <w:szCs w:val="24"/>
        </w:rPr>
        <w:t xml:space="preserve"> (</w:t>
      </w:r>
      <w:hyperlink w:anchor="PHI" w:history="1">
        <w:r w:rsidR="009B76D6" w:rsidRPr="006942A0">
          <w:rPr>
            <w:rStyle w:val="Hyperlink"/>
            <w:sz w:val="24"/>
            <w:szCs w:val="24"/>
          </w:rPr>
          <w:t>PHI</w:t>
        </w:r>
      </w:hyperlink>
      <w:r w:rsidR="009B76D6">
        <w:rPr>
          <w:sz w:val="24"/>
          <w:szCs w:val="24"/>
        </w:rPr>
        <w:t>)</w:t>
      </w:r>
      <w:r w:rsidRPr="00F74556">
        <w:rPr>
          <w:sz w:val="24"/>
          <w:szCs w:val="24"/>
        </w:rPr>
        <w:t xml:space="preserve"> need a payments hub that is configured in a manner that guarantees reduced exposure to </w:t>
      </w:r>
      <w:hyperlink w:anchor="PHI" w:history="1">
        <w:r w:rsidRPr="006942A0">
          <w:rPr>
            <w:rStyle w:val="Hyperlink"/>
            <w:sz w:val="24"/>
            <w:szCs w:val="24"/>
          </w:rPr>
          <w:t>PHI</w:t>
        </w:r>
      </w:hyperlink>
      <w:r w:rsidRPr="00F74556">
        <w:rPr>
          <w:sz w:val="24"/>
          <w:szCs w:val="24"/>
        </w:rPr>
        <w:t>.</w:t>
      </w:r>
      <w:r w:rsidR="000E50F7">
        <w:rPr>
          <w:sz w:val="24"/>
          <w:szCs w:val="24"/>
        </w:rPr>
        <w:t xml:space="preserve"> </w:t>
      </w:r>
      <w:r w:rsidRPr="00F74556">
        <w:rPr>
          <w:sz w:val="24"/>
          <w:szCs w:val="24"/>
        </w:rPr>
        <w:t xml:space="preserve">As a result, using open standard security measures such as </w:t>
      </w:r>
      <w:r w:rsidR="00462A90">
        <w:rPr>
          <w:sz w:val="24"/>
          <w:szCs w:val="24"/>
        </w:rPr>
        <w:t>Virtual Private Networks (</w:t>
      </w:r>
      <w:hyperlink w:anchor="VPN" w:history="1">
        <w:r w:rsidRPr="003D3325">
          <w:rPr>
            <w:rStyle w:val="Hyperlink"/>
            <w:sz w:val="24"/>
            <w:szCs w:val="24"/>
          </w:rPr>
          <w:t>VPN</w:t>
        </w:r>
      </w:hyperlink>
      <w:r w:rsidR="00462A90">
        <w:rPr>
          <w:sz w:val="24"/>
          <w:szCs w:val="24"/>
        </w:rPr>
        <w:t>)</w:t>
      </w:r>
      <w:r w:rsidRPr="00F74556">
        <w:rPr>
          <w:sz w:val="24"/>
          <w:szCs w:val="24"/>
        </w:rPr>
        <w:t xml:space="preserve">, </w:t>
      </w:r>
      <w:r w:rsidR="00462A90">
        <w:rPr>
          <w:sz w:val="24"/>
          <w:szCs w:val="24"/>
        </w:rPr>
        <w:t>Secure File Transfer Protocol (</w:t>
      </w:r>
      <w:r w:rsidRPr="00F74556">
        <w:rPr>
          <w:sz w:val="24"/>
          <w:szCs w:val="24"/>
        </w:rPr>
        <w:t>SFTP</w:t>
      </w:r>
      <w:r w:rsidR="00462A90">
        <w:rPr>
          <w:sz w:val="24"/>
          <w:szCs w:val="24"/>
        </w:rPr>
        <w:t>)</w:t>
      </w:r>
      <w:r w:rsidRPr="00F74556">
        <w:rPr>
          <w:sz w:val="24"/>
          <w:szCs w:val="24"/>
        </w:rPr>
        <w:t xml:space="preserve"> and </w:t>
      </w:r>
      <w:r w:rsidR="00462A90">
        <w:rPr>
          <w:sz w:val="24"/>
          <w:szCs w:val="24"/>
        </w:rPr>
        <w:t xml:space="preserve">the </w:t>
      </w:r>
    </w:p>
    <w:p w:rsidR="00031E52" w:rsidRDefault="00F247A1" w:rsidP="00F1105A">
      <w:pPr>
        <w:pStyle w:val="NoSpacing"/>
        <w:rPr>
          <w:sz w:val="24"/>
          <w:szCs w:val="24"/>
        </w:rPr>
      </w:pPr>
      <w:r w:rsidRPr="00212D00">
        <w:rPr>
          <w:rStyle w:val="st1"/>
          <w:rFonts w:cs="Arial"/>
          <w:bCs/>
          <w:color w:val="000000"/>
          <w:sz w:val="24"/>
          <w:szCs w:val="24"/>
        </w:rPr>
        <w:t>Society for Worldwide Interbank Financial Telecommunication</w:t>
      </w:r>
      <w:r>
        <w:rPr>
          <w:sz w:val="24"/>
          <w:szCs w:val="24"/>
        </w:rPr>
        <w:t xml:space="preserve"> (</w:t>
      </w:r>
      <w:hyperlink w:anchor="SWIFT" w:history="1">
        <w:r w:rsidR="00F1105A" w:rsidRPr="00A84E1A">
          <w:rPr>
            <w:rStyle w:val="Hyperlink"/>
            <w:sz w:val="24"/>
            <w:szCs w:val="24"/>
          </w:rPr>
          <w:t>SWIFT</w:t>
        </w:r>
      </w:hyperlink>
      <w:r w:rsidR="00E214C7">
        <w:rPr>
          <w:sz w:val="24"/>
          <w:szCs w:val="24"/>
        </w:rPr>
        <w:t>) network should</w:t>
      </w:r>
      <w:r w:rsidR="00031E52">
        <w:rPr>
          <w:sz w:val="24"/>
          <w:szCs w:val="24"/>
        </w:rPr>
        <w:t xml:space="preserve"> garner support and</w:t>
      </w:r>
      <w:r w:rsidR="00B95660">
        <w:rPr>
          <w:sz w:val="24"/>
          <w:szCs w:val="24"/>
        </w:rPr>
        <w:t xml:space="preserve"> have wide </w:t>
      </w:r>
      <w:r w:rsidR="00F1105A" w:rsidRPr="00F74556">
        <w:rPr>
          <w:sz w:val="24"/>
          <w:szCs w:val="24"/>
        </w:rPr>
        <w:t xml:space="preserve">appeal within the banking community. </w:t>
      </w:r>
    </w:p>
    <w:p w:rsidR="00031E52" w:rsidRDefault="00031E52" w:rsidP="00F1105A">
      <w:pPr>
        <w:pStyle w:val="NoSpacing"/>
        <w:rPr>
          <w:sz w:val="24"/>
          <w:szCs w:val="24"/>
        </w:rPr>
      </w:pPr>
    </w:p>
    <w:p w:rsidR="00F1105A" w:rsidRPr="00F74556" w:rsidRDefault="00D76821" w:rsidP="00F1105A">
      <w:pPr>
        <w:pStyle w:val="NoSpacing"/>
        <w:rPr>
          <w:sz w:val="24"/>
          <w:szCs w:val="24"/>
        </w:rPr>
      </w:pPr>
      <w:r>
        <w:rPr>
          <w:sz w:val="24"/>
          <w:szCs w:val="24"/>
        </w:rPr>
        <w:t>Listed</w:t>
      </w:r>
      <w:r w:rsidR="00031E52">
        <w:rPr>
          <w:sz w:val="24"/>
          <w:szCs w:val="24"/>
        </w:rPr>
        <w:t xml:space="preserve"> b</w:t>
      </w:r>
      <w:r w:rsidR="00F1105A" w:rsidRPr="00F74556">
        <w:rPr>
          <w:sz w:val="24"/>
          <w:szCs w:val="24"/>
        </w:rPr>
        <w:t xml:space="preserve">elow are features of the </w:t>
      </w:r>
      <w:hyperlink w:anchor="SWIFT" w:history="1">
        <w:r w:rsidR="00F1105A" w:rsidRPr="00A84E1A">
          <w:rPr>
            <w:rStyle w:val="Hyperlink"/>
            <w:sz w:val="24"/>
            <w:szCs w:val="24"/>
          </w:rPr>
          <w:t>SWIFT</w:t>
        </w:r>
      </w:hyperlink>
      <w:r w:rsidR="00F1105A" w:rsidRPr="00F74556">
        <w:rPr>
          <w:sz w:val="24"/>
          <w:szCs w:val="24"/>
        </w:rPr>
        <w:t xml:space="preserve"> network that make it an ideal platform to pilot the payments hub:</w:t>
      </w:r>
    </w:p>
    <w:p w:rsidR="00F1105A" w:rsidRPr="00BB61CE" w:rsidRDefault="005406CD" w:rsidP="00FD7D34">
      <w:pPr>
        <w:pStyle w:val="ListParagraph"/>
        <w:numPr>
          <w:ilvl w:val="0"/>
          <w:numId w:val="12"/>
        </w:numPr>
        <w:tabs>
          <w:tab w:val="left" w:pos="4245"/>
        </w:tabs>
        <w:rPr>
          <w:sz w:val="24"/>
          <w:szCs w:val="24"/>
        </w:rPr>
      </w:pPr>
      <w:hyperlink w:anchor="SWIFT" w:history="1">
        <w:r w:rsidR="00F1105A" w:rsidRPr="008940FA">
          <w:rPr>
            <w:rStyle w:val="Hyperlink"/>
            <w:rFonts w:cs="Segoe UI"/>
            <w:sz w:val="24"/>
            <w:szCs w:val="24"/>
          </w:rPr>
          <w:t>SWIFT</w:t>
        </w:r>
      </w:hyperlink>
      <w:r w:rsidR="00F1105A" w:rsidRPr="00BB61CE">
        <w:rPr>
          <w:rFonts w:cs="Segoe UI"/>
          <w:sz w:val="24"/>
          <w:szCs w:val="24"/>
        </w:rPr>
        <w:t xml:space="preserve"> has reportedly never been compromised </w:t>
      </w:r>
    </w:p>
    <w:p w:rsidR="00F1105A" w:rsidRPr="00BB61CE" w:rsidRDefault="00F1105A" w:rsidP="00FD7D34">
      <w:pPr>
        <w:pStyle w:val="ListParagraph"/>
        <w:numPr>
          <w:ilvl w:val="0"/>
          <w:numId w:val="12"/>
        </w:numPr>
        <w:tabs>
          <w:tab w:val="left" w:pos="4245"/>
        </w:tabs>
        <w:rPr>
          <w:sz w:val="24"/>
          <w:szCs w:val="24"/>
        </w:rPr>
      </w:pPr>
      <w:r w:rsidRPr="00BB61CE">
        <w:rPr>
          <w:sz w:val="24"/>
          <w:szCs w:val="24"/>
        </w:rPr>
        <w:t>Banks appear to trust it as their own network</w:t>
      </w:r>
    </w:p>
    <w:p w:rsidR="00F1105A" w:rsidRPr="00584FC7" w:rsidRDefault="00031E52" w:rsidP="00FD7D34">
      <w:pPr>
        <w:pStyle w:val="ListParagraph"/>
        <w:numPr>
          <w:ilvl w:val="0"/>
          <w:numId w:val="12"/>
        </w:numPr>
        <w:tabs>
          <w:tab w:val="left" w:pos="4245"/>
        </w:tabs>
        <w:rPr>
          <w:rFonts w:cs="Segoe UI"/>
          <w:sz w:val="24"/>
          <w:szCs w:val="24"/>
        </w:rPr>
      </w:pPr>
      <w:r>
        <w:rPr>
          <w:rFonts w:cs="Segoe UI"/>
          <w:sz w:val="24"/>
          <w:szCs w:val="24"/>
        </w:rPr>
        <w:t>The procedure permits users to p</w:t>
      </w:r>
      <w:r w:rsidR="00F1105A" w:rsidRPr="00BB61CE">
        <w:rPr>
          <w:rFonts w:cs="Segoe UI"/>
          <w:sz w:val="24"/>
          <w:szCs w:val="24"/>
        </w:rPr>
        <w:t>rescribe the container</w:t>
      </w:r>
      <w:r>
        <w:rPr>
          <w:rFonts w:cs="Segoe UI"/>
          <w:sz w:val="24"/>
          <w:szCs w:val="24"/>
        </w:rPr>
        <w:t>, with a</w:t>
      </w:r>
      <w:r w:rsidR="000E50F7">
        <w:rPr>
          <w:rFonts w:cs="Segoe UI"/>
          <w:sz w:val="24"/>
          <w:szCs w:val="24"/>
        </w:rPr>
        <w:t xml:space="preserve"> </w:t>
      </w:r>
      <w:r w:rsidR="00F1105A" w:rsidRPr="00BB61CE">
        <w:rPr>
          <w:rFonts w:cs="Segoe UI"/>
          <w:sz w:val="24"/>
          <w:szCs w:val="24"/>
        </w:rPr>
        <w:t xml:space="preserve">guarantee </w:t>
      </w:r>
      <w:r>
        <w:rPr>
          <w:rFonts w:cs="Segoe UI"/>
          <w:sz w:val="24"/>
          <w:szCs w:val="24"/>
        </w:rPr>
        <w:t xml:space="preserve">of </w:t>
      </w:r>
      <w:r w:rsidR="00F1105A" w:rsidRPr="00BB61CE">
        <w:rPr>
          <w:rFonts w:cs="Segoe UI"/>
          <w:sz w:val="24"/>
          <w:szCs w:val="24"/>
        </w:rPr>
        <w:t>its secure delivery</w:t>
      </w:r>
      <w:r>
        <w:rPr>
          <w:rFonts w:cs="Segoe UI"/>
          <w:sz w:val="24"/>
          <w:szCs w:val="24"/>
        </w:rPr>
        <w:t>, without</w:t>
      </w:r>
      <w:r w:rsidR="000E50F7">
        <w:rPr>
          <w:rFonts w:cs="Segoe UI"/>
          <w:sz w:val="24"/>
          <w:szCs w:val="24"/>
        </w:rPr>
        <w:t xml:space="preserve"> </w:t>
      </w:r>
      <w:r w:rsidR="00F1105A" w:rsidRPr="00584FC7">
        <w:rPr>
          <w:rFonts w:cs="Segoe UI"/>
          <w:sz w:val="24"/>
          <w:szCs w:val="24"/>
        </w:rPr>
        <w:t>dictat</w:t>
      </w:r>
      <w:r>
        <w:rPr>
          <w:rFonts w:cs="Segoe UI"/>
          <w:sz w:val="24"/>
          <w:szCs w:val="24"/>
        </w:rPr>
        <w:t>ing</w:t>
      </w:r>
      <w:r w:rsidR="00F1105A" w:rsidRPr="00584FC7">
        <w:rPr>
          <w:rFonts w:cs="Segoe UI"/>
          <w:sz w:val="24"/>
          <w:szCs w:val="24"/>
        </w:rPr>
        <w:t xml:space="preserve"> the payload</w:t>
      </w:r>
    </w:p>
    <w:p w:rsidR="00F1105A" w:rsidRPr="00584FC7" w:rsidRDefault="00031E52" w:rsidP="00FD7D34">
      <w:pPr>
        <w:pStyle w:val="ListParagraph"/>
        <w:numPr>
          <w:ilvl w:val="0"/>
          <w:numId w:val="12"/>
        </w:numPr>
        <w:tabs>
          <w:tab w:val="left" w:pos="4245"/>
        </w:tabs>
        <w:rPr>
          <w:rFonts w:cs="Segoe UI"/>
          <w:sz w:val="24"/>
          <w:szCs w:val="24"/>
        </w:rPr>
      </w:pPr>
      <w:r>
        <w:rPr>
          <w:rFonts w:cs="Segoe UI"/>
          <w:sz w:val="24"/>
          <w:szCs w:val="24"/>
        </w:rPr>
        <w:t>It is possible to</w:t>
      </w:r>
      <w:r w:rsidR="00F1105A" w:rsidRPr="00584FC7">
        <w:rPr>
          <w:rFonts w:cs="Segoe UI"/>
          <w:sz w:val="24"/>
          <w:szCs w:val="24"/>
        </w:rPr>
        <w:t xml:space="preserve"> track</w:t>
      </w:r>
      <w:r w:rsidR="000E50F7">
        <w:rPr>
          <w:rFonts w:cs="Segoe UI"/>
          <w:sz w:val="24"/>
          <w:szCs w:val="24"/>
        </w:rPr>
        <w:t xml:space="preserve"> </w:t>
      </w:r>
      <w:r w:rsidR="00F1105A" w:rsidRPr="00584FC7">
        <w:rPr>
          <w:rFonts w:cs="Segoe UI"/>
          <w:sz w:val="24"/>
          <w:szCs w:val="24"/>
        </w:rPr>
        <w:t xml:space="preserve">workflow and </w:t>
      </w:r>
      <w:r>
        <w:rPr>
          <w:rFonts w:cs="Segoe UI"/>
          <w:sz w:val="24"/>
          <w:szCs w:val="24"/>
        </w:rPr>
        <w:t xml:space="preserve">the </w:t>
      </w:r>
      <w:r w:rsidR="00F1105A" w:rsidRPr="00584FC7">
        <w:rPr>
          <w:rFonts w:cs="Segoe UI"/>
          <w:sz w:val="24"/>
          <w:szCs w:val="24"/>
        </w:rPr>
        <w:t>state of the whole claim and settle</w:t>
      </w:r>
      <w:r>
        <w:rPr>
          <w:rFonts w:cs="Segoe UI"/>
          <w:sz w:val="24"/>
          <w:szCs w:val="24"/>
        </w:rPr>
        <w:t>ment</w:t>
      </w:r>
      <w:r w:rsidR="00F1105A" w:rsidRPr="00584FC7">
        <w:rPr>
          <w:rFonts w:cs="Segoe UI"/>
          <w:sz w:val="24"/>
          <w:szCs w:val="24"/>
        </w:rPr>
        <w:t xml:space="preserve"> process </w:t>
      </w:r>
      <w:r>
        <w:rPr>
          <w:rFonts w:cs="Segoe UI"/>
          <w:sz w:val="24"/>
          <w:szCs w:val="24"/>
        </w:rPr>
        <w:t xml:space="preserve">with status updates available on </w:t>
      </w:r>
      <w:r w:rsidR="00F1105A" w:rsidRPr="00584FC7">
        <w:rPr>
          <w:rFonts w:cs="Segoe UI"/>
          <w:sz w:val="24"/>
          <w:szCs w:val="24"/>
        </w:rPr>
        <w:t>a web site</w:t>
      </w:r>
    </w:p>
    <w:p w:rsidR="00F1105A" w:rsidRPr="00584FC7" w:rsidRDefault="005406CD" w:rsidP="00FD7D34">
      <w:pPr>
        <w:pStyle w:val="ListParagraph"/>
        <w:numPr>
          <w:ilvl w:val="0"/>
          <w:numId w:val="12"/>
        </w:numPr>
        <w:tabs>
          <w:tab w:val="left" w:pos="4245"/>
        </w:tabs>
        <w:rPr>
          <w:rFonts w:cs="Segoe UI"/>
          <w:sz w:val="24"/>
          <w:szCs w:val="24"/>
        </w:rPr>
      </w:pPr>
      <w:hyperlink w:anchor="VPN" w:history="1">
        <w:r w:rsidR="00F1105A" w:rsidRPr="003D3325">
          <w:rPr>
            <w:rStyle w:val="Hyperlink"/>
            <w:rFonts w:cs="Segoe UI"/>
            <w:sz w:val="24"/>
            <w:szCs w:val="24"/>
          </w:rPr>
          <w:t>VPN</w:t>
        </w:r>
      </w:hyperlink>
      <w:r w:rsidR="00F1105A" w:rsidRPr="00584FC7">
        <w:rPr>
          <w:rFonts w:cs="Segoe UI"/>
          <w:sz w:val="24"/>
          <w:szCs w:val="24"/>
        </w:rPr>
        <w:t xml:space="preserve">, SFTP, or </w:t>
      </w:r>
      <w:hyperlink w:anchor="SWIFT" w:history="1">
        <w:r w:rsidR="00F1105A" w:rsidRPr="008940FA">
          <w:rPr>
            <w:rStyle w:val="Hyperlink"/>
            <w:rFonts w:cs="Segoe UI"/>
            <w:sz w:val="24"/>
            <w:szCs w:val="24"/>
          </w:rPr>
          <w:t>SWIFT</w:t>
        </w:r>
      </w:hyperlink>
      <w:r w:rsidR="000E50F7">
        <w:rPr>
          <w:rFonts w:cs="Segoe UI"/>
          <w:sz w:val="24"/>
          <w:szCs w:val="24"/>
        </w:rPr>
        <w:t xml:space="preserve"> </w:t>
      </w:r>
      <w:r w:rsidR="00F1105A" w:rsidRPr="00584FC7">
        <w:rPr>
          <w:rFonts w:cs="Segoe UI"/>
          <w:sz w:val="24"/>
          <w:szCs w:val="24"/>
        </w:rPr>
        <w:t xml:space="preserve">offer connectivity solutions for </w:t>
      </w:r>
      <w:r w:rsidR="00F1105A" w:rsidRPr="00584FC7">
        <w:rPr>
          <w:rFonts w:cs="Segoe UI"/>
          <w:sz w:val="24"/>
          <w:szCs w:val="24"/>
          <w:u w:val="single"/>
        </w:rPr>
        <w:t>all</w:t>
      </w:r>
      <w:r w:rsidR="00F1105A" w:rsidRPr="00584FC7">
        <w:rPr>
          <w:rFonts w:cs="Segoe UI"/>
          <w:sz w:val="24"/>
          <w:szCs w:val="24"/>
        </w:rPr>
        <w:t xml:space="preserve"> entities </w:t>
      </w:r>
    </w:p>
    <w:p w:rsidR="00F1105A" w:rsidRPr="00584FC7" w:rsidRDefault="00F1105A" w:rsidP="00FD7D34">
      <w:pPr>
        <w:pStyle w:val="ListParagraph"/>
        <w:numPr>
          <w:ilvl w:val="0"/>
          <w:numId w:val="12"/>
        </w:numPr>
        <w:tabs>
          <w:tab w:val="left" w:pos="4245"/>
        </w:tabs>
        <w:rPr>
          <w:rFonts w:cs="Segoe UI"/>
          <w:sz w:val="24"/>
          <w:szCs w:val="24"/>
        </w:rPr>
      </w:pPr>
      <w:r w:rsidRPr="00584FC7">
        <w:rPr>
          <w:rFonts w:cs="Segoe UI"/>
          <w:sz w:val="24"/>
          <w:szCs w:val="24"/>
        </w:rPr>
        <w:t xml:space="preserve">On the banking side, </w:t>
      </w:r>
      <w:hyperlink w:anchor="SWIFT" w:history="1">
        <w:r w:rsidRPr="008940FA">
          <w:rPr>
            <w:rStyle w:val="Hyperlink"/>
            <w:rFonts w:cs="Segoe UI"/>
            <w:sz w:val="24"/>
            <w:szCs w:val="24"/>
          </w:rPr>
          <w:t>SWIFT</w:t>
        </w:r>
      </w:hyperlink>
      <w:r w:rsidRPr="00584FC7">
        <w:rPr>
          <w:rFonts w:cs="Segoe UI"/>
          <w:sz w:val="24"/>
          <w:szCs w:val="24"/>
        </w:rPr>
        <w:t xml:space="preserve"> connects to or instructs many major settlement systems and exchanges</w:t>
      </w:r>
    </w:p>
    <w:p w:rsidR="00F1105A" w:rsidRPr="00584FC7" w:rsidRDefault="005406CD" w:rsidP="00FD7D34">
      <w:pPr>
        <w:pStyle w:val="ListParagraph"/>
        <w:numPr>
          <w:ilvl w:val="1"/>
          <w:numId w:val="12"/>
        </w:numPr>
        <w:tabs>
          <w:tab w:val="left" w:pos="270"/>
          <w:tab w:val="left" w:pos="4245"/>
        </w:tabs>
        <w:rPr>
          <w:rFonts w:cs="Segoe UI"/>
          <w:sz w:val="24"/>
          <w:szCs w:val="24"/>
        </w:rPr>
      </w:pPr>
      <w:hyperlink w:anchor="SEPA" w:history="1">
        <w:r w:rsidR="00F1105A" w:rsidRPr="00A23A3D">
          <w:rPr>
            <w:rStyle w:val="Hyperlink"/>
            <w:rFonts w:cs="Segoe UI"/>
            <w:sz w:val="24"/>
            <w:szCs w:val="24"/>
          </w:rPr>
          <w:t>SEPA</w:t>
        </w:r>
      </w:hyperlink>
      <w:r w:rsidR="00F1105A" w:rsidRPr="00584FC7">
        <w:rPr>
          <w:rFonts w:cs="Segoe UI"/>
          <w:sz w:val="24"/>
          <w:szCs w:val="24"/>
        </w:rPr>
        <w:t xml:space="preserve"> – Single European Payments Area</w:t>
      </w:r>
    </w:p>
    <w:p w:rsidR="00F1105A" w:rsidRPr="00584FC7" w:rsidRDefault="005406CD" w:rsidP="00FD7D34">
      <w:pPr>
        <w:pStyle w:val="ListParagraph"/>
        <w:numPr>
          <w:ilvl w:val="1"/>
          <w:numId w:val="12"/>
        </w:numPr>
        <w:tabs>
          <w:tab w:val="left" w:pos="4245"/>
        </w:tabs>
        <w:rPr>
          <w:rFonts w:cs="Segoe UI"/>
          <w:sz w:val="24"/>
          <w:szCs w:val="24"/>
        </w:rPr>
      </w:pPr>
      <w:hyperlink w:anchor="NACHAACH" w:history="1">
        <w:r w:rsidR="00F1105A" w:rsidRPr="002A75A9">
          <w:rPr>
            <w:rStyle w:val="Hyperlink"/>
            <w:rFonts w:cs="Segoe UI"/>
            <w:sz w:val="24"/>
            <w:szCs w:val="24"/>
          </w:rPr>
          <w:t>NACHA</w:t>
        </w:r>
      </w:hyperlink>
      <w:r w:rsidR="00F1105A" w:rsidRPr="00584FC7">
        <w:rPr>
          <w:rFonts w:cs="Segoe UI"/>
          <w:sz w:val="24"/>
          <w:szCs w:val="24"/>
        </w:rPr>
        <w:t xml:space="preserve"> (</w:t>
      </w:r>
      <w:hyperlink w:anchor="ACH" w:history="1">
        <w:r w:rsidR="00F1105A" w:rsidRPr="00B7289A">
          <w:rPr>
            <w:rStyle w:val="Hyperlink"/>
            <w:rFonts w:cs="Segoe UI"/>
            <w:sz w:val="24"/>
            <w:szCs w:val="24"/>
          </w:rPr>
          <w:t>ACH</w:t>
        </w:r>
      </w:hyperlink>
      <w:r w:rsidR="00F1105A" w:rsidRPr="00584FC7">
        <w:rPr>
          <w:rFonts w:cs="Segoe UI"/>
          <w:sz w:val="24"/>
          <w:szCs w:val="24"/>
        </w:rPr>
        <w:t>/IACH) – Network of clearing and settlement operators</w:t>
      </w:r>
    </w:p>
    <w:p w:rsidR="00F1105A" w:rsidRDefault="00F1105A" w:rsidP="00FD7D34">
      <w:pPr>
        <w:pStyle w:val="ListParagraph"/>
        <w:numPr>
          <w:ilvl w:val="2"/>
          <w:numId w:val="12"/>
        </w:numPr>
        <w:tabs>
          <w:tab w:val="left" w:pos="4245"/>
        </w:tabs>
        <w:rPr>
          <w:rFonts w:cs="Segoe UI"/>
          <w:sz w:val="24"/>
          <w:szCs w:val="24"/>
        </w:rPr>
      </w:pPr>
      <w:r w:rsidRPr="00584FC7">
        <w:rPr>
          <w:rFonts w:cs="Segoe UI"/>
          <w:sz w:val="24"/>
          <w:szCs w:val="24"/>
        </w:rPr>
        <w:lastRenderedPageBreak/>
        <w:t xml:space="preserve">60% Settled by Federal Reserve banks, 40% settled by </w:t>
      </w:r>
      <w:r w:rsidR="00FA686E">
        <w:rPr>
          <w:rFonts w:cs="Segoe UI"/>
          <w:sz w:val="24"/>
          <w:szCs w:val="24"/>
        </w:rPr>
        <w:t>the Electronic Payments Network (</w:t>
      </w:r>
      <w:hyperlink w:anchor="EPN" w:history="1">
        <w:r w:rsidR="00FA686E" w:rsidRPr="00F37718">
          <w:rPr>
            <w:rStyle w:val="Hyperlink"/>
            <w:rFonts w:cs="Segoe UI"/>
            <w:sz w:val="24"/>
            <w:szCs w:val="24"/>
          </w:rPr>
          <w:t>EPN</w:t>
        </w:r>
      </w:hyperlink>
      <w:r w:rsidR="00FA686E">
        <w:rPr>
          <w:rFonts w:cs="Segoe UI"/>
          <w:sz w:val="24"/>
          <w:szCs w:val="24"/>
        </w:rPr>
        <w:t>)</w:t>
      </w:r>
    </w:p>
    <w:p w:rsidR="00F1105A" w:rsidRPr="00584FC7" w:rsidRDefault="005406CD" w:rsidP="00FD7D34">
      <w:pPr>
        <w:pStyle w:val="ListParagraph"/>
        <w:numPr>
          <w:ilvl w:val="1"/>
          <w:numId w:val="12"/>
        </w:numPr>
        <w:tabs>
          <w:tab w:val="left" w:pos="4245"/>
        </w:tabs>
        <w:rPr>
          <w:rFonts w:cs="Segoe UI"/>
          <w:sz w:val="24"/>
          <w:szCs w:val="24"/>
        </w:rPr>
      </w:pPr>
      <w:hyperlink w:anchor="FedWire" w:history="1">
        <w:r w:rsidR="00F1105A" w:rsidRPr="00C23416">
          <w:rPr>
            <w:rStyle w:val="Hyperlink"/>
            <w:rFonts w:cs="Segoe UI"/>
            <w:sz w:val="24"/>
            <w:szCs w:val="24"/>
          </w:rPr>
          <w:t>FedWire</w:t>
        </w:r>
      </w:hyperlink>
      <w:r w:rsidR="00F1105A" w:rsidRPr="00584FC7">
        <w:rPr>
          <w:rFonts w:cs="Segoe UI"/>
          <w:sz w:val="24"/>
          <w:szCs w:val="24"/>
        </w:rPr>
        <w:t xml:space="preserve"> – U.S. Federal Reserve ma</w:t>
      </w:r>
      <w:r w:rsidR="00462A90">
        <w:rPr>
          <w:rFonts w:cs="Segoe UI"/>
          <w:sz w:val="24"/>
          <w:szCs w:val="24"/>
        </w:rPr>
        <w:t>naged wire payment system (</w:t>
      </w:r>
      <w:hyperlink w:anchor="RTGS" w:history="1">
        <w:r w:rsidR="00462A90" w:rsidRPr="00A23A3D">
          <w:rPr>
            <w:rStyle w:val="Hyperlink"/>
            <w:rFonts w:cs="Segoe UI"/>
            <w:sz w:val="24"/>
            <w:szCs w:val="24"/>
          </w:rPr>
          <w:t>RTGS</w:t>
        </w:r>
      </w:hyperlink>
      <w:r w:rsidR="00462A90">
        <w:rPr>
          <w:rStyle w:val="EndnoteReference"/>
          <w:rFonts w:cs="Segoe UI"/>
          <w:sz w:val="24"/>
          <w:szCs w:val="24"/>
        </w:rPr>
        <w:endnoteReference w:id="2"/>
      </w:r>
      <w:r w:rsidR="00F1105A" w:rsidRPr="00584FC7">
        <w:rPr>
          <w:rFonts w:cs="Segoe UI"/>
          <w:sz w:val="24"/>
          <w:szCs w:val="24"/>
        </w:rPr>
        <w:t>)</w:t>
      </w:r>
    </w:p>
    <w:p w:rsidR="00F1105A" w:rsidRPr="00584FC7" w:rsidRDefault="00F1105A" w:rsidP="00FD7D34">
      <w:pPr>
        <w:pStyle w:val="ListParagraph"/>
        <w:numPr>
          <w:ilvl w:val="1"/>
          <w:numId w:val="12"/>
        </w:numPr>
        <w:tabs>
          <w:tab w:val="left" w:pos="4245"/>
        </w:tabs>
        <w:rPr>
          <w:rFonts w:cs="Segoe UI"/>
          <w:sz w:val="24"/>
          <w:szCs w:val="24"/>
        </w:rPr>
      </w:pPr>
      <w:r w:rsidRPr="00584FC7">
        <w:rPr>
          <w:rFonts w:cs="Segoe UI"/>
          <w:sz w:val="24"/>
          <w:szCs w:val="24"/>
        </w:rPr>
        <w:t>Co</w:t>
      </w:r>
      <w:r w:rsidR="00FA686E">
        <w:rPr>
          <w:rFonts w:cs="Segoe UI"/>
          <w:sz w:val="24"/>
          <w:szCs w:val="24"/>
        </w:rPr>
        <w:t>ntinuous Linked Settlement bank (</w:t>
      </w:r>
      <w:hyperlink w:anchor="CLS" w:history="1">
        <w:r w:rsidR="00FA686E" w:rsidRPr="00B7289A">
          <w:rPr>
            <w:rStyle w:val="Hyperlink"/>
            <w:rFonts w:cs="Segoe UI"/>
            <w:sz w:val="24"/>
            <w:szCs w:val="24"/>
          </w:rPr>
          <w:t>CLS</w:t>
        </w:r>
      </w:hyperlink>
      <w:r w:rsidR="00FA686E">
        <w:rPr>
          <w:rFonts w:cs="Segoe UI"/>
          <w:sz w:val="24"/>
          <w:szCs w:val="24"/>
        </w:rPr>
        <w:t>)</w:t>
      </w:r>
      <w:r w:rsidRPr="00584FC7">
        <w:rPr>
          <w:rFonts w:cs="Segoe UI"/>
          <w:sz w:val="24"/>
          <w:szCs w:val="24"/>
        </w:rPr>
        <w:t xml:space="preserve"> – FX Netting Engine</w:t>
      </w:r>
    </w:p>
    <w:p w:rsidR="00F1105A" w:rsidRPr="00584FC7" w:rsidRDefault="00F1105A" w:rsidP="00FD7D34">
      <w:pPr>
        <w:pStyle w:val="ListParagraph"/>
        <w:numPr>
          <w:ilvl w:val="1"/>
          <w:numId w:val="12"/>
        </w:numPr>
        <w:tabs>
          <w:tab w:val="left" w:pos="4245"/>
        </w:tabs>
        <w:rPr>
          <w:rFonts w:cs="Segoe UI"/>
          <w:sz w:val="24"/>
          <w:szCs w:val="24"/>
        </w:rPr>
      </w:pPr>
      <w:r w:rsidRPr="00584FC7">
        <w:rPr>
          <w:rFonts w:cs="Segoe UI"/>
          <w:sz w:val="24"/>
          <w:szCs w:val="24"/>
        </w:rPr>
        <w:t>Clearin</w:t>
      </w:r>
      <w:r w:rsidR="00B96EF5">
        <w:rPr>
          <w:rFonts w:cs="Segoe UI"/>
          <w:sz w:val="24"/>
          <w:szCs w:val="24"/>
        </w:rPr>
        <w:t>gHouse (</w:t>
      </w:r>
      <w:hyperlink w:anchor="CHIPS" w:history="1">
        <w:r w:rsidR="00B96EF5" w:rsidRPr="00B7289A">
          <w:rPr>
            <w:rStyle w:val="Hyperlink"/>
            <w:rFonts w:cs="Segoe UI"/>
            <w:sz w:val="24"/>
            <w:szCs w:val="24"/>
          </w:rPr>
          <w:t>CHIPS</w:t>
        </w:r>
      </w:hyperlink>
      <w:r w:rsidR="00E214C7">
        <w:rPr>
          <w:rFonts w:cs="Segoe UI"/>
          <w:sz w:val="24"/>
          <w:szCs w:val="24"/>
        </w:rPr>
        <w:t>) Netting</w:t>
      </w:r>
      <w:r w:rsidR="00B96EF5">
        <w:rPr>
          <w:rFonts w:cs="Segoe UI"/>
          <w:sz w:val="24"/>
          <w:szCs w:val="24"/>
        </w:rPr>
        <w:t xml:space="preserve"> (non-</w:t>
      </w:r>
      <w:hyperlink w:anchor="RTGS" w:history="1">
        <w:r w:rsidR="00B96EF5" w:rsidRPr="00A23A3D">
          <w:rPr>
            <w:rStyle w:val="Hyperlink"/>
            <w:rFonts w:cs="Segoe UI"/>
            <w:sz w:val="24"/>
            <w:szCs w:val="24"/>
          </w:rPr>
          <w:t>RTGS</w:t>
        </w:r>
      </w:hyperlink>
      <w:r w:rsidRPr="00584FC7">
        <w:rPr>
          <w:rFonts w:cs="Segoe UI"/>
          <w:sz w:val="24"/>
          <w:szCs w:val="24"/>
        </w:rPr>
        <w:t>) system for clearing domestic a</w:t>
      </w:r>
      <w:r>
        <w:rPr>
          <w:rFonts w:cs="Segoe UI"/>
          <w:sz w:val="24"/>
          <w:szCs w:val="24"/>
        </w:rPr>
        <w:t>nd international transactions</w:t>
      </w:r>
      <w:r w:rsidR="00031E52">
        <w:rPr>
          <w:rFonts w:cs="Segoe UI"/>
          <w:sz w:val="24"/>
          <w:szCs w:val="24"/>
        </w:rPr>
        <w:t xml:space="preserve"> – </w:t>
      </w:r>
      <w:r w:rsidRPr="00584FC7">
        <w:rPr>
          <w:rFonts w:cs="Segoe UI"/>
          <w:sz w:val="24"/>
          <w:szCs w:val="24"/>
        </w:rPr>
        <w:t>47 members, privately held.</w:t>
      </w:r>
    </w:p>
    <w:p w:rsidR="00F1105A" w:rsidRPr="00584FC7" w:rsidRDefault="005406CD" w:rsidP="00FD7D34">
      <w:pPr>
        <w:pStyle w:val="ListParagraph"/>
        <w:numPr>
          <w:ilvl w:val="1"/>
          <w:numId w:val="12"/>
        </w:numPr>
        <w:tabs>
          <w:tab w:val="left" w:pos="4245"/>
        </w:tabs>
        <w:rPr>
          <w:rFonts w:cs="Segoe UI"/>
          <w:sz w:val="24"/>
          <w:szCs w:val="24"/>
        </w:rPr>
      </w:pPr>
      <w:hyperlink w:anchor="CHAPS" w:history="1">
        <w:r w:rsidR="00F1105A" w:rsidRPr="00B7289A">
          <w:rPr>
            <w:rStyle w:val="Hyperlink"/>
            <w:rFonts w:cs="Segoe UI"/>
            <w:sz w:val="24"/>
            <w:szCs w:val="24"/>
          </w:rPr>
          <w:t>CHAP</w:t>
        </w:r>
        <w:r w:rsidR="00B96EF5" w:rsidRPr="00B7289A">
          <w:rPr>
            <w:rStyle w:val="Hyperlink"/>
            <w:rFonts w:cs="Segoe UI"/>
            <w:sz w:val="24"/>
            <w:szCs w:val="24"/>
          </w:rPr>
          <w:t>S</w:t>
        </w:r>
      </w:hyperlink>
      <w:r w:rsidR="00B96EF5">
        <w:rPr>
          <w:rFonts w:cs="Segoe UI"/>
          <w:sz w:val="24"/>
          <w:szCs w:val="24"/>
        </w:rPr>
        <w:t xml:space="preserve"> – UK version of </w:t>
      </w:r>
      <w:hyperlink w:anchor="FedWire" w:history="1">
        <w:r w:rsidR="00B96EF5" w:rsidRPr="00C23416">
          <w:rPr>
            <w:rStyle w:val="Hyperlink"/>
            <w:rFonts w:cs="Segoe UI"/>
            <w:sz w:val="24"/>
            <w:szCs w:val="24"/>
          </w:rPr>
          <w:t>FedWire</w:t>
        </w:r>
      </w:hyperlink>
      <w:r w:rsidR="00B96EF5">
        <w:rPr>
          <w:rFonts w:cs="Segoe UI"/>
          <w:sz w:val="24"/>
          <w:szCs w:val="24"/>
        </w:rPr>
        <w:t xml:space="preserve"> (</w:t>
      </w:r>
      <w:hyperlink w:anchor="RTGS" w:history="1">
        <w:r w:rsidR="00B96EF5" w:rsidRPr="00A23A3D">
          <w:rPr>
            <w:rStyle w:val="Hyperlink"/>
            <w:rFonts w:cs="Segoe UI"/>
            <w:sz w:val="24"/>
            <w:szCs w:val="24"/>
          </w:rPr>
          <w:t>RTGS</w:t>
        </w:r>
      </w:hyperlink>
      <w:r w:rsidR="00F1105A" w:rsidRPr="00584FC7">
        <w:rPr>
          <w:rFonts w:cs="Segoe UI"/>
          <w:sz w:val="24"/>
          <w:szCs w:val="24"/>
        </w:rPr>
        <w:t>)</w:t>
      </w:r>
    </w:p>
    <w:p w:rsidR="00F1105A" w:rsidRPr="00584FC7" w:rsidRDefault="005406CD" w:rsidP="00FD7D34">
      <w:pPr>
        <w:pStyle w:val="ListParagraph"/>
        <w:numPr>
          <w:ilvl w:val="1"/>
          <w:numId w:val="12"/>
        </w:numPr>
        <w:tabs>
          <w:tab w:val="left" w:pos="4245"/>
        </w:tabs>
        <w:rPr>
          <w:rFonts w:cs="Segoe UI"/>
          <w:sz w:val="24"/>
          <w:szCs w:val="24"/>
        </w:rPr>
      </w:pPr>
      <w:hyperlink w:anchor="CHATS" w:history="1">
        <w:r w:rsidR="00F1105A" w:rsidRPr="00B7289A">
          <w:rPr>
            <w:rStyle w:val="Hyperlink"/>
            <w:rFonts w:cs="Segoe UI"/>
            <w:sz w:val="24"/>
            <w:szCs w:val="24"/>
          </w:rPr>
          <w:t>CHATS</w:t>
        </w:r>
      </w:hyperlink>
      <w:r w:rsidR="00F1105A" w:rsidRPr="00584FC7">
        <w:rPr>
          <w:rFonts w:cs="Segoe UI"/>
          <w:sz w:val="24"/>
          <w:szCs w:val="24"/>
        </w:rPr>
        <w:t xml:space="preserve"> – Hon</w:t>
      </w:r>
      <w:r w:rsidR="00B96EF5">
        <w:rPr>
          <w:rFonts w:cs="Segoe UI"/>
          <w:sz w:val="24"/>
          <w:szCs w:val="24"/>
        </w:rPr>
        <w:t xml:space="preserve">g Kong version of </w:t>
      </w:r>
      <w:hyperlink w:anchor="FedWire" w:history="1">
        <w:r w:rsidR="00B96EF5" w:rsidRPr="00C23416">
          <w:rPr>
            <w:rStyle w:val="Hyperlink"/>
            <w:rFonts w:cs="Segoe UI"/>
            <w:sz w:val="24"/>
            <w:szCs w:val="24"/>
          </w:rPr>
          <w:t>FedWire</w:t>
        </w:r>
      </w:hyperlink>
      <w:r w:rsidR="00B96EF5">
        <w:rPr>
          <w:rFonts w:cs="Segoe UI"/>
          <w:sz w:val="24"/>
          <w:szCs w:val="24"/>
        </w:rPr>
        <w:t xml:space="preserve"> (</w:t>
      </w:r>
      <w:hyperlink w:anchor="RTGS" w:history="1">
        <w:r w:rsidR="00B96EF5" w:rsidRPr="00A23A3D">
          <w:rPr>
            <w:rStyle w:val="Hyperlink"/>
            <w:rFonts w:cs="Segoe UI"/>
            <w:sz w:val="24"/>
            <w:szCs w:val="24"/>
          </w:rPr>
          <w:t>RTGS</w:t>
        </w:r>
      </w:hyperlink>
      <w:r w:rsidR="00F1105A" w:rsidRPr="00584FC7">
        <w:rPr>
          <w:rFonts w:cs="Segoe UI"/>
          <w:sz w:val="24"/>
          <w:szCs w:val="24"/>
        </w:rPr>
        <w:t>)</w:t>
      </w:r>
    </w:p>
    <w:p w:rsidR="00F1105A" w:rsidRPr="00D76821" w:rsidRDefault="00F1105A" w:rsidP="00D76821">
      <w:pPr>
        <w:tabs>
          <w:tab w:val="left" w:pos="4245"/>
        </w:tabs>
        <w:rPr>
          <w:b/>
          <w:color w:val="0070C0"/>
          <w:kern w:val="24"/>
        </w:rPr>
      </w:pPr>
      <w:r w:rsidRPr="00D76821">
        <w:rPr>
          <w:rFonts w:cs="Segoe UI"/>
          <w:sz w:val="24"/>
          <w:szCs w:val="24"/>
        </w:rPr>
        <w:t xml:space="preserve">In cases where </w:t>
      </w:r>
      <w:hyperlink w:anchor="SWIFT" w:history="1">
        <w:r w:rsidRPr="00D76821">
          <w:rPr>
            <w:rStyle w:val="Hyperlink"/>
            <w:rFonts w:cs="Segoe UI"/>
            <w:sz w:val="24"/>
            <w:szCs w:val="24"/>
          </w:rPr>
          <w:t>SWIFT</w:t>
        </w:r>
      </w:hyperlink>
      <w:r w:rsidRPr="00D76821">
        <w:rPr>
          <w:rFonts w:cs="Segoe UI"/>
          <w:sz w:val="24"/>
          <w:szCs w:val="24"/>
        </w:rPr>
        <w:t xml:space="preserve"> is used, </w:t>
      </w:r>
      <w:r w:rsidR="00FA686E" w:rsidRPr="00D76821">
        <w:rPr>
          <w:rFonts w:cs="Segoe UI"/>
          <w:sz w:val="24"/>
          <w:szCs w:val="24"/>
        </w:rPr>
        <w:t xml:space="preserve">the </w:t>
      </w:r>
      <w:r w:rsidRPr="00D76821">
        <w:rPr>
          <w:rFonts w:cs="Segoe UI"/>
          <w:sz w:val="24"/>
          <w:szCs w:val="24"/>
        </w:rPr>
        <w:t>container size can be up to 250 MB.</w:t>
      </w:r>
      <w:r w:rsidR="000E50F7" w:rsidRPr="00D76821">
        <w:rPr>
          <w:rFonts w:cs="Segoe UI"/>
          <w:sz w:val="24"/>
          <w:szCs w:val="24"/>
        </w:rPr>
        <w:t xml:space="preserve"> </w:t>
      </w:r>
      <w:r w:rsidRPr="00D76821">
        <w:rPr>
          <w:rFonts w:cs="Segoe UI"/>
          <w:sz w:val="24"/>
          <w:szCs w:val="24"/>
        </w:rPr>
        <w:t xml:space="preserve">In other cases </w:t>
      </w:r>
      <w:r w:rsidR="00E214C7" w:rsidRPr="00D76821">
        <w:rPr>
          <w:rFonts w:cs="Segoe UI"/>
          <w:sz w:val="24"/>
          <w:szCs w:val="24"/>
        </w:rPr>
        <w:t xml:space="preserve">the </w:t>
      </w:r>
      <w:hyperlink w:anchor="CCD" w:history="1">
        <w:r w:rsidR="00E214C7" w:rsidRPr="00D76821">
          <w:rPr>
            <w:rStyle w:val="Hyperlink"/>
            <w:rFonts w:cs="Segoe UI"/>
            <w:sz w:val="24"/>
            <w:szCs w:val="24"/>
          </w:rPr>
          <w:t>CCD+</w:t>
        </w:r>
      </w:hyperlink>
      <w:r w:rsidR="00D76821">
        <w:rPr>
          <w:rStyle w:val="Hyperlink"/>
          <w:rFonts w:cs="Segoe UI"/>
          <w:sz w:val="24"/>
          <w:szCs w:val="24"/>
        </w:rPr>
        <w:t xml:space="preserve"> (Cash Concentration and Disbursement plus remittance re-association number)</w:t>
      </w:r>
      <w:r w:rsidR="00D76821">
        <w:rPr>
          <w:rFonts w:cs="Segoe UI"/>
          <w:sz w:val="24"/>
          <w:szCs w:val="24"/>
        </w:rPr>
        <w:t xml:space="preserve"> </w:t>
      </w:r>
      <w:r w:rsidR="00E214C7" w:rsidRPr="00D76821">
        <w:rPr>
          <w:rFonts w:cs="Segoe UI"/>
          <w:sz w:val="24"/>
          <w:szCs w:val="24"/>
        </w:rPr>
        <w:t>reconciliation</w:t>
      </w:r>
      <w:r w:rsidRPr="00D76821">
        <w:rPr>
          <w:rFonts w:cs="Segoe UI"/>
          <w:sz w:val="24"/>
          <w:szCs w:val="24"/>
        </w:rPr>
        <w:t xml:space="preserve"> process can be used </w:t>
      </w:r>
      <w:r w:rsidR="00E214C7" w:rsidRPr="00D76821">
        <w:rPr>
          <w:rFonts w:cs="Segoe UI"/>
          <w:sz w:val="24"/>
          <w:szCs w:val="24"/>
        </w:rPr>
        <w:t>if preferred</w:t>
      </w:r>
      <w:r w:rsidRPr="00D76821">
        <w:rPr>
          <w:rFonts w:cs="Segoe UI"/>
          <w:sz w:val="24"/>
          <w:szCs w:val="24"/>
        </w:rPr>
        <w:t xml:space="preserve"> while still </w:t>
      </w:r>
      <w:r w:rsidR="00E214C7" w:rsidRPr="00D76821">
        <w:rPr>
          <w:rFonts w:cs="Segoe UI"/>
          <w:sz w:val="24"/>
          <w:szCs w:val="24"/>
        </w:rPr>
        <w:t>delivering workflow</w:t>
      </w:r>
      <w:r w:rsidRPr="00D76821">
        <w:rPr>
          <w:rFonts w:cs="Segoe UI"/>
          <w:sz w:val="24"/>
          <w:szCs w:val="24"/>
        </w:rPr>
        <w:t xml:space="preserve"> status and tracking necessary for all counterparties</w:t>
      </w:r>
      <w:r w:rsidR="00031E52" w:rsidRPr="00D76821">
        <w:rPr>
          <w:rFonts w:cs="Segoe UI"/>
          <w:sz w:val="24"/>
          <w:szCs w:val="24"/>
        </w:rPr>
        <w:t>.</w:t>
      </w:r>
    </w:p>
    <w:p w:rsidR="00F1105A" w:rsidRDefault="00F1105A" w:rsidP="00F1105A">
      <w:pPr>
        <w:pStyle w:val="Heading1"/>
      </w:pPr>
      <w:bookmarkStart w:id="12" w:name="_Toc345348383"/>
      <w:r>
        <w:t>Background</w:t>
      </w:r>
      <w:bookmarkEnd w:id="12"/>
    </w:p>
    <w:p w:rsidR="00E1725C" w:rsidRDefault="00E1725C" w:rsidP="00E1725C">
      <w:pPr>
        <w:pStyle w:val="NoSpacing"/>
        <w:rPr>
          <w:sz w:val="24"/>
          <w:szCs w:val="24"/>
        </w:rPr>
      </w:pPr>
      <w:r w:rsidRPr="0033416C">
        <w:rPr>
          <w:sz w:val="24"/>
          <w:szCs w:val="24"/>
        </w:rPr>
        <w:t>Unfortunately, the lack of a centrally accepted exchang</w:t>
      </w:r>
      <w:r w:rsidR="000E0E5A">
        <w:rPr>
          <w:sz w:val="24"/>
          <w:szCs w:val="24"/>
        </w:rPr>
        <w:t>e, non-standard message content</w:t>
      </w:r>
      <w:r w:rsidRPr="0033416C">
        <w:rPr>
          <w:sz w:val="24"/>
          <w:szCs w:val="24"/>
        </w:rPr>
        <w:t xml:space="preserve"> (</w:t>
      </w:r>
      <w:r w:rsidR="000E0E5A">
        <w:rPr>
          <w:sz w:val="24"/>
          <w:szCs w:val="24"/>
        </w:rPr>
        <w:t>with the</w:t>
      </w:r>
      <w:r>
        <w:rPr>
          <w:sz w:val="24"/>
          <w:szCs w:val="24"/>
        </w:rPr>
        <w:t xml:space="preserve"> </w:t>
      </w:r>
      <w:r w:rsidRPr="0033416C">
        <w:rPr>
          <w:sz w:val="24"/>
          <w:szCs w:val="24"/>
        </w:rPr>
        <w:t>persistent use of “situational data elements”) an</w:t>
      </w:r>
      <w:r>
        <w:rPr>
          <w:sz w:val="24"/>
          <w:szCs w:val="24"/>
        </w:rPr>
        <w:t xml:space="preserve">d routing or operating rules have not only </w:t>
      </w:r>
      <w:r w:rsidRPr="0033416C">
        <w:rPr>
          <w:sz w:val="24"/>
          <w:szCs w:val="24"/>
        </w:rPr>
        <w:t>hampered the financial processes for healthcare (accounts p</w:t>
      </w:r>
      <w:r w:rsidR="00B02B53">
        <w:rPr>
          <w:sz w:val="24"/>
          <w:szCs w:val="24"/>
        </w:rPr>
        <w:t xml:space="preserve">ayable and accounts </w:t>
      </w:r>
      <w:r w:rsidRPr="0033416C">
        <w:rPr>
          <w:sz w:val="24"/>
          <w:szCs w:val="24"/>
        </w:rPr>
        <w:t xml:space="preserve">receivable) but </w:t>
      </w:r>
      <w:r>
        <w:rPr>
          <w:sz w:val="24"/>
          <w:szCs w:val="24"/>
        </w:rPr>
        <w:t>have also worked</w:t>
      </w:r>
      <w:r w:rsidRPr="0033416C">
        <w:rPr>
          <w:sz w:val="24"/>
          <w:szCs w:val="24"/>
        </w:rPr>
        <w:t xml:space="preserve"> against </w:t>
      </w:r>
      <w:r>
        <w:rPr>
          <w:sz w:val="24"/>
          <w:szCs w:val="24"/>
        </w:rPr>
        <w:t xml:space="preserve">sound </w:t>
      </w:r>
      <w:r w:rsidRPr="0033416C">
        <w:rPr>
          <w:sz w:val="24"/>
          <w:szCs w:val="24"/>
        </w:rPr>
        <w:t>administrative process</w:t>
      </w:r>
      <w:r>
        <w:rPr>
          <w:sz w:val="24"/>
          <w:szCs w:val="24"/>
        </w:rPr>
        <w:t>es</w:t>
      </w:r>
      <w:r w:rsidRPr="0033416C">
        <w:rPr>
          <w:sz w:val="24"/>
          <w:szCs w:val="24"/>
        </w:rPr>
        <w:t xml:space="preserve"> resulting in duplicate procedures, higher costs, </w:t>
      </w:r>
      <w:r w:rsidR="000E0E5A">
        <w:rPr>
          <w:sz w:val="24"/>
          <w:szCs w:val="24"/>
        </w:rPr>
        <w:t xml:space="preserve">the </w:t>
      </w:r>
      <w:r w:rsidRPr="0033416C">
        <w:rPr>
          <w:sz w:val="24"/>
          <w:szCs w:val="24"/>
        </w:rPr>
        <w:t xml:space="preserve">inability to automate workflows, longer collection periods, unclear coverage application and lack of accessible information that can be used to support business intelligence. </w:t>
      </w:r>
    </w:p>
    <w:p w:rsidR="00B02B53" w:rsidRDefault="00B02B53" w:rsidP="00E1725C">
      <w:pPr>
        <w:pStyle w:val="NoSpacing"/>
        <w:rPr>
          <w:sz w:val="24"/>
          <w:szCs w:val="24"/>
        </w:rPr>
      </w:pPr>
    </w:p>
    <w:p w:rsidR="00E1725C" w:rsidRPr="0033416C" w:rsidRDefault="000E0E5A" w:rsidP="00E1725C">
      <w:pPr>
        <w:pStyle w:val="NoSpacing"/>
        <w:rPr>
          <w:sz w:val="24"/>
          <w:szCs w:val="24"/>
        </w:rPr>
      </w:pPr>
      <w:r>
        <w:rPr>
          <w:sz w:val="24"/>
          <w:szCs w:val="24"/>
        </w:rPr>
        <w:t>H</w:t>
      </w:r>
      <w:r w:rsidR="00E1725C">
        <w:rPr>
          <w:sz w:val="24"/>
          <w:szCs w:val="24"/>
        </w:rPr>
        <w:t xml:space="preserve">ealthcare stakeholders clearly need to have interoperable information exchange among all the components that support the financial value chain. This value chain </w:t>
      </w:r>
      <w:r w:rsidR="00573BFD">
        <w:rPr>
          <w:sz w:val="24"/>
          <w:szCs w:val="24"/>
        </w:rPr>
        <w:t xml:space="preserve">includes </w:t>
      </w:r>
      <w:r w:rsidR="00573BFD" w:rsidRPr="007F5274">
        <w:rPr>
          <w:sz w:val="24"/>
          <w:szCs w:val="24"/>
        </w:rPr>
        <w:t>commercial</w:t>
      </w:r>
      <w:r w:rsidR="00E1725C" w:rsidRPr="007F5274">
        <w:rPr>
          <w:sz w:val="24"/>
          <w:szCs w:val="24"/>
        </w:rPr>
        <w:t xml:space="preserve"> banks, healthcare and banking IT vendors</w:t>
      </w:r>
      <w:r>
        <w:rPr>
          <w:sz w:val="24"/>
          <w:szCs w:val="24"/>
        </w:rPr>
        <w:t xml:space="preserve"> and service providers</w:t>
      </w:r>
      <w:r w:rsidR="00E1725C" w:rsidRPr="007F5274">
        <w:rPr>
          <w:sz w:val="24"/>
          <w:szCs w:val="24"/>
        </w:rPr>
        <w:t>, healthcare providers</w:t>
      </w:r>
      <w:r w:rsidR="00E1725C">
        <w:rPr>
          <w:sz w:val="24"/>
          <w:szCs w:val="24"/>
        </w:rPr>
        <w:t>,</w:t>
      </w:r>
      <w:r w:rsidR="00E1725C" w:rsidRPr="007F5274">
        <w:rPr>
          <w:sz w:val="24"/>
          <w:szCs w:val="24"/>
        </w:rPr>
        <w:t xml:space="preserve"> and health plans that include self-funded employer groups and others. While the need is well defined there ar</w:t>
      </w:r>
      <w:r w:rsidR="00E1725C">
        <w:rPr>
          <w:sz w:val="24"/>
          <w:szCs w:val="24"/>
        </w:rPr>
        <w:t>e opposing forces</w:t>
      </w:r>
      <w:r w:rsidR="00E1725C" w:rsidRPr="007F5274">
        <w:rPr>
          <w:sz w:val="24"/>
          <w:szCs w:val="24"/>
        </w:rPr>
        <w:t xml:space="preserve"> at work between banks and settlement institutions and healthcare payment and provider groups.</w:t>
      </w:r>
    </w:p>
    <w:p w:rsidR="00E1725C" w:rsidRPr="0033416C" w:rsidRDefault="00E1725C" w:rsidP="00E1725C">
      <w:pPr>
        <w:pStyle w:val="NoSpacing"/>
        <w:rPr>
          <w:sz w:val="24"/>
          <w:szCs w:val="24"/>
        </w:rPr>
      </w:pPr>
    </w:p>
    <w:p w:rsidR="00E1725C" w:rsidRDefault="00E1725C" w:rsidP="00E1725C">
      <w:pPr>
        <w:pStyle w:val="NoSpacing"/>
        <w:rPr>
          <w:sz w:val="24"/>
          <w:szCs w:val="24"/>
        </w:rPr>
      </w:pPr>
      <w:r w:rsidRPr="002E5DBB">
        <w:rPr>
          <w:sz w:val="24"/>
          <w:szCs w:val="24"/>
        </w:rPr>
        <w:t xml:space="preserve">On the one hand, providers have to continually revise the </w:t>
      </w:r>
      <w:r w:rsidR="000E0E5A">
        <w:rPr>
          <w:sz w:val="24"/>
          <w:szCs w:val="24"/>
        </w:rPr>
        <w:t>detailed data</w:t>
      </w:r>
      <w:r w:rsidRPr="002E5DBB">
        <w:rPr>
          <w:sz w:val="24"/>
          <w:szCs w:val="24"/>
        </w:rPr>
        <w:t>, procedure codes and supporting detail provided to payers in order to meet the requirements of the adjudication process based on the payer contract.</w:t>
      </w:r>
      <w:r w:rsidR="000E50F7">
        <w:rPr>
          <w:sz w:val="24"/>
          <w:szCs w:val="24"/>
        </w:rPr>
        <w:t xml:space="preserve"> </w:t>
      </w:r>
      <w:r w:rsidR="000E0E5A">
        <w:rPr>
          <w:sz w:val="24"/>
          <w:szCs w:val="24"/>
        </w:rPr>
        <w:t>The</w:t>
      </w:r>
      <w:r w:rsidRPr="002E5DBB">
        <w:rPr>
          <w:sz w:val="24"/>
          <w:szCs w:val="24"/>
        </w:rPr>
        <w:t xml:space="preserve"> absence of enough data, </w:t>
      </w:r>
      <w:r w:rsidR="000E0E5A">
        <w:rPr>
          <w:sz w:val="24"/>
          <w:szCs w:val="24"/>
        </w:rPr>
        <w:t>results in</w:t>
      </w:r>
      <w:r w:rsidRPr="002E5DBB">
        <w:rPr>
          <w:sz w:val="24"/>
          <w:szCs w:val="24"/>
        </w:rPr>
        <w:t xml:space="preserve"> processing delays and/or partial claims settlements. Meanwhile, providers </w:t>
      </w:r>
      <w:r w:rsidR="000E0E5A">
        <w:rPr>
          <w:sz w:val="24"/>
          <w:szCs w:val="24"/>
        </w:rPr>
        <w:t>wait</w:t>
      </w:r>
      <w:r w:rsidRPr="002E5DBB">
        <w:rPr>
          <w:sz w:val="24"/>
          <w:szCs w:val="24"/>
        </w:rPr>
        <w:t xml:space="preserve"> for claims to be paid into their receivables bank account with sufficient detail to reconcile the claim in their patient </w:t>
      </w:r>
      <w:r>
        <w:rPr>
          <w:sz w:val="24"/>
          <w:szCs w:val="24"/>
        </w:rPr>
        <w:t xml:space="preserve">accounting system. </w:t>
      </w:r>
      <w:r w:rsidR="00031E52">
        <w:rPr>
          <w:sz w:val="24"/>
          <w:szCs w:val="24"/>
        </w:rPr>
        <w:t>On the other hand, t</w:t>
      </w:r>
      <w:r>
        <w:rPr>
          <w:sz w:val="24"/>
          <w:szCs w:val="24"/>
        </w:rPr>
        <w:t>he provider</w:t>
      </w:r>
      <w:r w:rsidRPr="002E5DBB">
        <w:rPr>
          <w:sz w:val="24"/>
          <w:szCs w:val="24"/>
        </w:rPr>
        <w:t>s</w:t>
      </w:r>
      <w:r>
        <w:rPr>
          <w:sz w:val="24"/>
          <w:szCs w:val="24"/>
        </w:rPr>
        <w:t>'</w:t>
      </w:r>
      <w:r w:rsidRPr="002E5DBB">
        <w:rPr>
          <w:sz w:val="24"/>
          <w:szCs w:val="24"/>
        </w:rPr>
        <w:t xml:space="preserve"> bank</w:t>
      </w:r>
      <w:r w:rsidR="00031E52">
        <w:rPr>
          <w:sz w:val="24"/>
          <w:szCs w:val="24"/>
        </w:rPr>
        <w:t>s</w:t>
      </w:r>
      <w:r w:rsidRPr="002E5DBB">
        <w:rPr>
          <w:sz w:val="24"/>
          <w:szCs w:val="24"/>
        </w:rPr>
        <w:t xml:space="preserve"> may </w:t>
      </w:r>
      <w:r w:rsidRPr="002E5DBB">
        <w:rPr>
          <w:i/>
          <w:sz w:val="24"/>
          <w:szCs w:val="24"/>
        </w:rPr>
        <w:t>not</w:t>
      </w:r>
      <w:r w:rsidRPr="002E5DBB">
        <w:rPr>
          <w:sz w:val="24"/>
          <w:szCs w:val="24"/>
        </w:rPr>
        <w:t xml:space="preserve"> be interested in handling the supporting detail for the claim (remittance data) and only provide payment data </w:t>
      </w:r>
      <w:r>
        <w:rPr>
          <w:sz w:val="24"/>
          <w:szCs w:val="24"/>
        </w:rPr>
        <w:t>so that they are not exposed</w:t>
      </w:r>
      <w:r w:rsidRPr="002E5DBB">
        <w:rPr>
          <w:sz w:val="24"/>
          <w:szCs w:val="24"/>
        </w:rPr>
        <w:t xml:space="preserve"> to </w:t>
      </w:r>
      <w:hyperlink w:anchor="HIPAA" w:history="1">
        <w:r w:rsidRPr="005016DA">
          <w:rPr>
            <w:rStyle w:val="Hyperlink"/>
            <w:sz w:val="24"/>
            <w:szCs w:val="24"/>
          </w:rPr>
          <w:t>HIPAA</w:t>
        </w:r>
      </w:hyperlink>
      <w:r w:rsidR="00B07FDD">
        <w:rPr>
          <w:sz w:val="24"/>
          <w:szCs w:val="24"/>
        </w:rPr>
        <w:t xml:space="preserve"> and/or </w:t>
      </w:r>
      <w:hyperlink w:anchor="HITECH" w:history="1">
        <w:r w:rsidR="00B07FDD" w:rsidRPr="005016DA">
          <w:rPr>
            <w:rStyle w:val="Hyperlink"/>
            <w:sz w:val="24"/>
            <w:szCs w:val="24"/>
          </w:rPr>
          <w:t>HITECH</w:t>
        </w:r>
      </w:hyperlink>
      <w:r w:rsidR="00B07FDD">
        <w:rPr>
          <w:sz w:val="24"/>
          <w:szCs w:val="24"/>
        </w:rPr>
        <w:t xml:space="preserve"> requirements</w:t>
      </w:r>
      <w:r w:rsidRPr="002E5DBB">
        <w:rPr>
          <w:sz w:val="24"/>
          <w:szCs w:val="24"/>
        </w:rPr>
        <w:t xml:space="preserve">. Consequently, the separation of </w:t>
      </w:r>
      <w:r w:rsidR="00E214C7" w:rsidRPr="002E5DBB">
        <w:rPr>
          <w:sz w:val="24"/>
          <w:szCs w:val="24"/>
        </w:rPr>
        <w:t>the detailed</w:t>
      </w:r>
      <w:r w:rsidRPr="002E5DBB">
        <w:rPr>
          <w:sz w:val="24"/>
          <w:szCs w:val="24"/>
        </w:rPr>
        <w:t xml:space="preserve"> </w:t>
      </w:r>
      <w:hyperlink w:anchor="EOB" w:history="1">
        <w:r w:rsidRPr="00F37718">
          <w:rPr>
            <w:rStyle w:val="Hyperlink"/>
            <w:sz w:val="24"/>
            <w:szCs w:val="24"/>
          </w:rPr>
          <w:t>EOB</w:t>
        </w:r>
      </w:hyperlink>
      <w:r w:rsidRPr="002E5DBB">
        <w:rPr>
          <w:sz w:val="24"/>
          <w:szCs w:val="24"/>
        </w:rPr>
        <w:t xml:space="preserve"> (explanation of benefits) from the payment stream can result in hardship for all </w:t>
      </w:r>
      <w:r>
        <w:rPr>
          <w:sz w:val="24"/>
          <w:szCs w:val="24"/>
        </w:rPr>
        <w:t>participants</w:t>
      </w:r>
      <w:r w:rsidRPr="002E5DBB">
        <w:rPr>
          <w:sz w:val="24"/>
          <w:szCs w:val="24"/>
        </w:rPr>
        <w:t xml:space="preserve"> in the financial reconcili</w:t>
      </w:r>
      <w:r w:rsidR="00B02B53">
        <w:rPr>
          <w:sz w:val="24"/>
          <w:szCs w:val="24"/>
        </w:rPr>
        <w:t>ation process.</w:t>
      </w:r>
    </w:p>
    <w:p w:rsidR="00B02B53" w:rsidRDefault="00B02B53" w:rsidP="00B02B53">
      <w:pPr>
        <w:pStyle w:val="NoSpacing"/>
        <w:rPr>
          <w:sz w:val="24"/>
          <w:szCs w:val="24"/>
        </w:rPr>
      </w:pPr>
    </w:p>
    <w:p w:rsidR="00B02B53" w:rsidRPr="00E02055" w:rsidRDefault="000E0E5A" w:rsidP="00B02B53">
      <w:pPr>
        <w:pStyle w:val="NoSpacing"/>
        <w:rPr>
          <w:sz w:val="24"/>
          <w:szCs w:val="24"/>
        </w:rPr>
      </w:pPr>
      <w:r>
        <w:rPr>
          <w:sz w:val="24"/>
          <w:szCs w:val="24"/>
        </w:rPr>
        <w:t>In response to this reality, h</w:t>
      </w:r>
      <w:r w:rsidR="00B02B53">
        <w:rPr>
          <w:sz w:val="24"/>
          <w:szCs w:val="24"/>
        </w:rPr>
        <w:t xml:space="preserve">ealthcare </w:t>
      </w:r>
      <w:r w:rsidR="00B07FDD">
        <w:rPr>
          <w:sz w:val="24"/>
          <w:szCs w:val="24"/>
        </w:rPr>
        <w:t xml:space="preserve">stakeholders and other </w:t>
      </w:r>
      <w:r w:rsidR="00B02B53" w:rsidRPr="00E02055">
        <w:rPr>
          <w:sz w:val="24"/>
          <w:szCs w:val="24"/>
        </w:rPr>
        <w:t>experts conducted a HIMSS G7 session facilitated by the Vanderbilt Center for</w:t>
      </w:r>
      <w:r w:rsidR="00B02B53">
        <w:rPr>
          <w:sz w:val="24"/>
          <w:szCs w:val="24"/>
        </w:rPr>
        <w:t xml:space="preserve"> Better Health in Nashville, </w:t>
      </w:r>
      <w:r w:rsidR="00C720EC">
        <w:rPr>
          <w:sz w:val="24"/>
          <w:szCs w:val="24"/>
        </w:rPr>
        <w:t>Tennessee,</w:t>
      </w:r>
      <w:r w:rsidR="00B02B53">
        <w:rPr>
          <w:sz w:val="24"/>
          <w:szCs w:val="24"/>
        </w:rPr>
        <w:t xml:space="preserve"> in October 2010</w:t>
      </w:r>
      <w:r w:rsidR="00B02B53" w:rsidRPr="00E02055">
        <w:rPr>
          <w:sz w:val="24"/>
          <w:szCs w:val="24"/>
        </w:rPr>
        <w:t>.</w:t>
      </w:r>
      <w:r w:rsidR="00B02B53">
        <w:rPr>
          <w:sz w:val="24"/>
          <w:szCs w:val="24"/>
        </w:rPr>
        <w:t xml:space="preserve"> This group consisted of leaders </w:t>
      </w:r>
      <w:r w:rsidR="00B02B53" w:rsidRPr="00E02055">
        <w:rPr>
          <w:sz w:val="24"/>
          <w:szCs w:val="24"/>
        </w:rPr>
        <w:t xml:space="preserve">from healthcare providers, payers, </w:t>
      </w:r>
      <w:r w:rsidR="00B02B53" w:rsidRPr="00E02055">
        <w:rPr>
          <w:sz w:val="24"/>
          <w:szCs w:val="24"/>
        </w:rPr>
        <w:lastRenderedPageBreak/>
        <w:t>clearinghouses, employers, the banking sector</w:t>
      </w:r>
      <w:r w:rsidR="00B02B53">
        <w:rPr>
          <w:sz w:val="24"/>
          <w:szCs w:val="24"/>
        </w:rPr>
        <w:t>,</w:t>
      </w:r>
      <w:r w:rsidR="00B02B53" w:rsidRPr="00E02055">
        <w:rPr>
          <w:sz w:val="24"/>
          <w:szCs w:val="24"/>
        </w:rPr>
        <w:t xml:space="preserve"> and technology providers</w:t>
      </w:r>
      <w:r w:rsidR="00B02B53">
        <w:rPr>
          <w:sz w:val="24"/>
          <w:szCs w:val="24"/>
        </w:rPr>
        <w:t xml:space="preserve">. </w:t>
      </w:r>
      <w:r w:rsidR="00B02B53" w:rsidRPr="00E02055">
        <w:rPr>
          <w:sz w:val="24"/>
          <w:szCs w:val="24"/>
        </w:rPr>
        <w:t xml:space="preserve">Through a creative brainstorming process, </w:t>
      </w:r>
      <w:r>
        <w:rPr>
          <w:sz w:val="24"/>
          <w:szCs w:val="24"/>
        </w:rPr>
        <w:t>the concept of a</w:t>
      </w:r>
      <w:r w:rsidR="00B02B53">
        <w:rPr>
          <w:sz w:val="24"/>
          <w:szCs w:val="24"/>
        </w:rPr>
        <w:t xml:space="preserve"> "healthcare payments hub"</w:t>
      </w:r>
      <w:r w:rsidR="00B02B53" w:rsidRPr="00E02055">
        <w:rPr>
          <w:sz w:val="24"/>
          <w:szCs w:val="24"/>
        </w:rPr>
        <w:t xml:space="preserve"> architecture was </w:t>
      </w:r>
      <w:r>
        <w:rPr>
          <w:sz w:val="24"/>
          <w:szCs w:val="24"/>
        </w:rPr>
        <w:t>developed</w:t>
      </w:r>
      <w:r w:rsidR="00B02B53" w:rsidRPr="00E02055">
        <w:rPr>
          <w:sz w:val="24"/>
          <w:szCs w:val="24"/>
        </w:rPr>
        <w:t xml:space="preserve"> as a</w:t>
      </w:r>
      <w:r w:rsidR="00B02B53">
        <w:rPr>
          <w:sz w:val="24"/>
          <w:szCs w:val="24"/>
        </w:rPr>
        <w:t xml:space="preserve"> way to demonstrate a new best practice</w:t>
      </w:r>
      <w:r w:rsidR="00B02B53" w:rsidRPr="00E02055">
        <w:rPr>
          <w:sz w:val="24"/>
          <w:szCs w:val="24"/>
        </w:rPr>
        <w:t xml:space="preserve"> for healthcare stakeholders </w:t>
      </w:r>
      <w:r w:rsidR="00B02B53">
        <w:rPr>
          <w:sz w:val="24"/>
          <w:szCs w:val="24"/>
        </w:rPr>
        <w:t>to conduct</w:t>
      </w:r>
      <w:r w:rsidR="00B02B53" w:rsidRPr="00E02055">
        <w:rPr>
          <w:sz w:val="24"/>
          <w:szCs w:val="24"/>
        </w:rPr>
        <w:t xml:space="preserve"> payment and reconciliation processes nationally</w:t>
      </w:r>
      <w:r w:rsidR="00B02B53">
        <w:rPr>
          <w:sz w:val="24"/>
          <w:szCs w:val="24"/>
        </w:rPr>
        <w:t>,</w:t>
      </w:r>
      <w:r w:rsidR="00B02B53" w:rsidRPr="00E02055">
        <w:rPr>
          <w:sz w:val="24"/>
          <w:szCs w:val="24"/>
        </w:rPr>
        <w:t xml:space="preserve"> and possibly globally.</w:t>
      </w:r>
      <w:r w:rsidR="00B02B53" w:rsidRPr="00E02055">
        <w:rPr>
          <w:rStyle w:val="EndnoteReference"/>
          <w:rFonts w:cs="Segoe UI"/>
          <w:sz w:val="24"/>
          <w:szCs w:val="24"/>
        </w:rPr>
        <w:endnoteReference w:id="3"/>
      </w:r>
    </w:p>
    <w:p w:rsidR="00415652" w:rsidRPr="00087288" w:rsidRDefault="000F27CA" w:rsidP="0032160B">
      <w:pPr>
        <w:pStyle w:val="Heading2"/>
      </w:pPr>
      <w:bookmarkStart w:id="13" w:name="_Toc345348384"/>
      <w:r>
        <w:t>Co</w:t>
      </w:r>
      <w:r w:rsidR="00C11987">
        <w:t>mplex Connectivity</w:t>
      </w:r>
      <w:bookmarkEnd w:id="13"/>
    </w:p>
    <w:p w:rsidR="00415652" w:rsidRPr="002025B9" w:rsidRDefault="00415652" w:rsidP="00415652">
      <w:pPr>
        <w:pStyle w:val="NoSpacing"/>
        <w:rPr>
          <w:sz w:val="24"/>
          <w:szCs w:val="24"/>
        </w:rPr>
      </w:pPr>
      <w:r w:rsidRPr="002025B9">
        <w:rPr>
          <w:sz w:val="24"/>
          <w:szCs w:val="24"/>
        </w:rPr>
        <w:t>The typical healthcare provider uses claim</w:t>
      </w:r>
      <w:r w:rsidR="005D014D">
        <w:rPr>
          <w:sz w:val="24"/>
          <w:szCs w:val="24"/>
        </w:rPr>
        <w:t>s</w:t>
      </w:r>
      <w:r w:rsidRPr="002025B9">
        <w:rPr>
          <w:sz w:val="24"/>
          <w:szCs w:val="24"/>
        </w:rPr>
        <w:t xml:space="preserve"> clearinghouses to assist in </w:t>
      </w:r>
      <w:r w:rsidR="00F2130B">
        <w:rPr>
          <w:sz w:val="24"/>
          <w:szCs w:val="24"/>
        </w:rPr>
        <w:t xml:space="preserve">transporting </w:t>
      </w:r>
      <w:r w:rsidRPr="002025B9">
        <w:rPr>
          <w:sz w:val="24"/>
          <w:szCs w:val="24"/>
        </w:rPr>
        <w:t xml:space="preserve">health data transactions and to </w:t>
      </w:r>
      <w:r>
        <w:rPr>
          <w:sz w:val="24"/>
          <w:szCs w:val="24"/>
        </w:rPr>
        <w:t>automate</w:t>
      </w:r>
      <w:r w:rsidRPr="002025B9">
        <w:rPr>
          <w:sz w:val="24"/>
          <w:szCs w:val="24"/>
        </w:rPr>
        <w:t xml:space="preserve"> many of the manual processes that support the business of healthcare. In fact, most healthcare organizations use several methods and multiple counterparties for </w:t>
      </w:r>
      <w:r>
        <w:rPr>
          <w:sz w:val="24"/>
          <w:szCs w:val="24"/>
        </w:rPr>
        <w:t xml:space="preserve">eligibility, </w:t>
      </w:r>
      <w:r w:rsidRPr="002025B9">
        <w:rPr>
          <w:sz w:val="24"/>
          <w:szCs w:val="24"/>
        </w:rPr>
        <w:t>claims, remittance</w:t>
      </w:r>
      <w:r>
        <w:rPr>
          <w:sz w:val="24"/>
          <w:szCs w:val="24"/>
        </w:rPr>
        <w:t>,</w:t>
      </w:r>
      <w:r w:rsidRPr="002025B9">
        <w:rPr>
          <w:sz w:val="24"/>
          <w:szCs w:val="24"/>
        </w:rPr>
        <w:t xml:space="preserve"> and payment. </w:t>
      </w:r>
    </w:p>
    <w:p w:rsidR="00415652" w:rsidRPr="002025B9" w:rsidRDefault="00415652" w:rsidP="00415652">
      <w:pPr>
        <w:pStyle w:val="NoSpacing"/>
        <w:rPr>
          <w:sz w:val="24"/>
          <w:szCs w:val="24"/>
        </w:rPr>
      </w:pPr>
    </w:p>
    <w:p w:rsidR="00415652" w:rsidRDefault="00415652" w:rsidP="00B0496D">
      <w:pPr>
        <w:pStyle w:val="NoSpacing"/>
        <w:rPr>
          <w:rFonts w:cs="Segoe UI"/>
          <w:sz w:val="24"/>
          <w:szCs w:val="24"/>
        </w:rPr>
      </w:pPr>
      <w:r w:rsidRPr="002025B9">
        <w:rPr>
          <w:sz w:val="24"/>
          <w:szCs w:val="24"/>
        </w:rPr>
        <w:t>Major providers often use dedicated links to their major payer groups, such as Medicare, via dedicated FTP or other secure tunnels. Healthcare providers have made considerable investments in legacy-coded systems, internal hospital processes, and proprietary biller/provider systems and procedures</w:t>
      </w:r>
      <w:r>
        <w:rPr>
          <w:sz w:val="24"/>
          <w:szCs w:val="24"/>
        </w:rPr>
        <w:t>. Often, these systems</w:t>
      </w:r>
      <w:r w:rsidRPr="002025B9">
        <w:rPr>
          <w:sz w:val="24"/>
          <w:szCs w:val="24"/>
        </w:rPr>
        <w:t xml:space="preserve"> require additional investment to implement </w:t>
      </w:r>
      <w:hyperlink w:anchor="EFT" w:history="1">
        <w:r w:rsidRPr="006B6165">
          <w:rPr>
            <w:rStyle w:val="Hyperlink"/>
            <w:sz w:val="24"/>
            <w:szCs w:val="24"/>
          </w:rPr>
          <w:t>EFT</w:t>
        </w:r>
      </w:hyperlink>
      <w:r w:rsidRPr="002025B9">
        <w:rPr>
          <w:sz w:val="24"/>
          <w:szCs w:val="24"/>
        </w:rPr>
        <w:t>/</w:t>
      </w:r>
      <w:hyperlink w:anchor="ERA" w:history="1">
        <w:r w:rsidRPr="00F37718">
          <w:rPr>
            <w:rStyle w:val="Hyperlink"/>
            <w:sz w:val="24"/>
            <w:szCs w:val="24"/>
          </w:rPr>
          <w:t>ERA</w:t>
        </w:r>
      </w:hyperlink>
      <w:r w:rsidRPr="002025B9">
        <w:rPr>
          <w:sz w:val="24"/>
          <w:szCs w:val="24"/>
        </w:rPr>
        <w:t xml:space="preserve"> </w:t>
      </w:r>
      <w:r>
        <w:rPr>
          <w:sz w:val="24"/>
          <w:szCs w:val="24"/>
        </w:rPr>
        <w:t>re-association mechanisms and to support</w:t>
      </w:r>
      <w:r w:rsidRPr="002025B9">
        <w:rPr>
          <w:sz w:val="24"/>
          <w:szCs w:val="24"/>
        </w:rPr>
        <w:t xml:space="preserve"> new processes around healthcare </w:t>
      </w:r>
      <w:hyperlink w:anchor="STP" w:history="1">
        <w:r w:rsidRPr="00425E01">
          <w:rPr>
            <w:rStyle w:val="Hyperlink"/>
            <w:sz w:val="24"/>
            <w:szCs w:val="24"/>
          </w:rPr>
          <w:t>STP</w:t>
        </w:r>
      </w:hyperlink>
      <w:r w:rsidRPr="002025B9">
        <w:rPr>
          <w:sz w:val="24"/>
          <w:szCs w:val="24"/>
        </w:rPr>
        <w:t>.</w:t>
      </w:r>
      <w:r w:rsidR="00E214C7">
        <w:rPr>
          <w:sz w:val="24"/>
          <w:szCs w:val="24"/>
        </w:rPr>
        <w:t xml:space="preserve"> </w:t>
      </w:r>
      <w:r w:rsidRPr="00584FC7">
        <w:rPr>
          <w:rFonts w:cs="Segoe UI"/>
          <w:sz w:val="24"/>
          <w:szCs w:val="24"/>
        </w:rPr>
        <w:t xml:space="preserve">The diagram below </w:t>
      </w:r>
      <w:r w:rsidR="00F2130B">
        <w:rPr>
          <w:rFonts w:cs="Segoe UI"/>
          <w:sz w:val="24"/>
          <w:szCs w:val="24"/>
        </w:rPr>
        <w:t xml:space="preserve">illustrates many typical </w:t>
      </w:r>
      <w:r w:rsidRPr="00584FC7">
        <w:rPr>
          <w:rFonts w:cs="Segoe UI"/>
          <w:sz w:val="24"/>
          <w:szCs w:val="24"/>
        </w:rPr>
        <w:t xml:space="preserve">large provider and payer network implementations. </w:t>
      </w:r>
    </w:p>
    <w:p w:rsidR="00415652" w:rsidRDefault="00415652" w:rsidP="00415652">
      <w:pPr>
        <w:tabs>
          <w:tab w:val="left" w:pos="4245"/>
        </w:tabs>
        <w:rPr>
          <w:rFonts w:cs="Segoe UI"/>
          <w:sz w:val="24"/>
          <w:szCs w:val="24"/>
        </w:rPr>
      </w:pPr>
      <w:r w:rsidRPr="00584FC7">
        <w:rPr>
          <w:rFonts w:cs="Segoe UI"/>
          <w:noProof/>
          <w:sz w:val="24"/>
          <w:szCs w:val="24"/>
          <w:lang w:bidi="ar-SA"/>
        </w:rPr>
        <w:drawing>
          <wp:inline distT="0" distB="0" distL="0" distR="0">
            <wp:extent cx="5351658" cy="26289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354515" cy="2630303"/>
                    </a:xfrm>
                    <a:prstGeom prst="rect">
                      <a:avLst/>
                    </a:prstGeom>
                    <a:noFill/>
                  </pic:spPr>
                </pic:pic>
              </a:graphicData>
            </a:graphic>
          </wp:inline>
        </w:drawing>
      </w:r>
    </w:p>
    <w:p w:rsidR="00CD46B6" w:rsidRPr="00CD46B6" w:rsidRDefault="00CD46B6" w:rsidP="00415652">
      <w:pPr>
        <w:tabs>
          <w:tab w:val="left" w:pos="4245"/>
        </w:tabs>
        <w:rPr>
          <w:rFonts w:cs="Segoe UI"/>
          <w:sz w:val="16"/>
          <w:szCs w:val="16"/>
        </w:rPr>
      </w:pPr>
      <w:r w:rsidRPr="00CD46B6">
        <w:rPr>
          <w:rFonts w:cs="Segoe UI"/>
          <w:sz w:val="16"/>
          <w:szCs w:val="16"/>
        </w:rPr>
        <w:t>Source:  SWIFT Partner Meeting 2007, New York.-Modified counterparties for illustration</w:t>
      </w:r>
    </w:p>
    <w:p w:rsidR="00415652" w:rsidRPr="00FD228A" w:rsidRDefault="00415652" w:rsidP="00415652">
      <w:pPr>
        <w:pStyle w:val="NoSpacing"/>
        <w:rPr>
          <w:rFonts w:cs="Segoe UI"/>
          <w:sz w:val="24"/>
          <w:szCs w:val="24"/>
        </w:rPr>
      </w:pPr>
      <w:r w:rsidRPr="00FD228A">
        <w:rPr>
          <w:rFonts w:cs="Segoe UI"/>
          <w:sz w:val="24"/>
          <w:szCs w:val="24"/>
        </w:rPr>
        <w:t>EDI connections between the clinical environment and the patient accounting system for most large providers are often manual and disjointed with reliance on batch processing (“data dumps”) and manual data entry and revi</w:t>
      </w:r>
      <w:r w:rsidR="00B0496D">
        <w:rPr>
          <w:rFonts w:cs="Segoe UI"/>
          <w:sz w:val="24"/>
          <w:szCs w:val="24"/>
        </w:rPr>
        <w:t xml:space="preserve">ew. </w:t>
      </w:r>
      <w:r w:rsidR="00B07FDD">
        <w:rPr>
          <w:rFonts w:cs="Segoe UI"/>
          <w:sz w:val="24"/>
          <w:szCs w:val="24"/>
        </w:rPr>
        <w:t>T</w:t>
      </w:r>
      <w:r w:rsidR="00B0496D">
        <w:rPr>
          <w:rFonts w:cs="Segoe UI"/>
          <w:sz w:val="24"/>
          <w:szCs w:val="24"/>
        </w:rPr>
        <w:t xml:space="preserve">here is little true </w:t>
      </w:r>
      <w:hyperlink w:anchor="STP" w:history="1">
        <w:r w:rsidRPr="00425E01">
          <w:rPr>
            <w:rStyle w:val="Hyperlink"/>
            <w:rFonts w:cs="Segoe UI"/>
            <w:sz w:val="24"/>
            <w:szCs w:val="24"/>
          </w:rPr>
          <w:t>STP</w:t>
        </w:r>
      </w:hyperlink>
      <w:r w:rsidRPr="00FD228A">
        <w:rPr>
          <w:rFonts w:cs="Segoe UI"/>
          <w:sz w:val="24"/>
          <w:szCs w:val="24"/>
        </w:rPr>
        <w:t xml:space="preserve"> in the healthcare environment. </w:t>
      </w:r>
    </w:p>
    <w:p w:rsidR="00415652" w:rsidRPr="00FD228A" w:rsidRDefault="00415652" w:rsidP="00415652">
      <w:pPr>
        <w:pStyle w:val="NoSpacing"/>
        <w:rPr>
          <w:rFonts w:cs="Segoe UI"/>
          <w:sz w:val="24"/>
          <w:szCs w:val="24"/>
        </w:rPr>
      </w:pPr>
    </w:p>
    <w:p w:rsidR="00415652" w:rsidRPr="004F41C0" w:rsidRDefault="00F2130B" w:rsidP="004F41C0">
      <w:pPr>
        <w:tabs>
          <w:tab w:val="left" w:pos="4245"/>
        </w:tabs>
        <w:rPr>
          <w:rFonts w:cs="Segoe UI"/>
          <w:b/>
          <w:sz w:val="24"/>
          <w:szCs w:val="24"/>
        </w:rPr>
      </w:pPr>
      <w:r>
        <w:rPr>
          <w:rFonts w:cs="Segoe UI"/>
          <w:sz w:val="24"/>
          <w:szCs w:val="24"/>
        </w:rPr>
        <w:t>A</w:t>
      </w:r>
      <w:r w:rsidR="00415652" w:rsidRPr="00FD228A">
        <w:rPr>
          <w:rFonts w:cs="Segoe UI"/>
          <w:sz w:val="24"/>
          <w:szCs w:val="24"/>
        </w:rPr>
        <w:t xml:space="preserve">s a result of the federal incentives for electronic records adoption in </w:t>
      </w:r>
      <w:hyperlink w:anchor="ARRA" w:history="1">
        <w:r w:rsidR="00415652" w:rsidRPr="00B7289A">
          <w:rPr>
            <w:rStyle w:val="Hyperlink"/>
            <w:rFonts w:cs="Segoe UI"/>
            <w:sz w:val="24"/>
            <w:szCs w:val="24"/>
          </w:rPr>
          <w:t>ARRA</w:t>
        </w:r>
      </w:hyperlink>
      <w:r w:rsidR="00415652" w:rsidRPr="00FD228A">
        <w:rPr>
          <w:rFonts w:cs="Segoe UI"/>
          <w:sz w:val="24"/>
          <w:szCs w:val="24"/>
        </w:rPr>
        <w:t xml:space="preserve">, </w:t>
      </w:r>
      <w:r>
        <w:rPr>
          <w:rFonts w:cs="Segoe UI"/>
          <w:sz w:val="24"/>
          <w:szCs w:val="24"/>
        </w:rPr>
        <w:t xml:space="preserve">there is growing pressure </w:t>
      </w:r>
      <w:r w:rsidR="00415652" w:rsidRPr="00FD228A">
        <w:rPr>
          <w:rFonts w:cs="Segoe UI"/>
          <w:sz w:val="24"/>
          <w:szCs w:val="24"/>
        </w:rPr>
        <w:t>to drive towards a fully electronic health record standard that can be exchanged as part of continuity of care</w:t>
      </w:r>
      <w:r w:rsidR="004F41C0">
        <w:rPr>
          <w:rFonts w:cs="Segoe UI"/>
          <w:sz w:val="24"/>
          <w:szCs w:val="24"/>
        </w:rPr>
        <w:t>, with</w:t>
      </w:r>
      <w:r w:rsidR="00415652" w:rsidRPr="00FD228A">
        <w:rPr>
          <w:rFonts w:cs="Segoe UI"/>
          <w:sz w:val="24"/>
          <w:szCs w:val="24"/>
        </w:rPr>
        <w:t xml:space="preserve"> lesser focus on using an EHR for ancillary purposes such as billing and payment.</w:t>
      </w:r>
      <w:r w:rsidR="000E50F7">
        <w:rPr>
          <w:rFonts w:cs="Segoe UI"/>
          <w:sz w:val="24"/>
          <w:szCs w:val="24"/>
        </w:rPr>
        <w:t xml:space="preserve"> </w:t>
      </w:r>
      <w:r w:rsidR="00415652" w:rsidRPr="00FD228A">
        <w:rPr>
          <w:rFonts w:cs="Segoe UI"/>
          <w:sz w:val="24"/>
          <w:szCs w:val="24"/>
        </w:rPr>
        <w:t>In any case, the number of connected end points and average number of ep</w:t>
      </w:r>
      <w:r>
        <w:rPr>
          <w:rFonts w:cs="Segoe UI"/>
          <w:sz w:val="24"/>
          <w:szCs w:val="24"/>
        </w:rPr>
        <w:t xml:space="preserve">isodes per year that generate </w:t>
      </w:r>
      <w:r w:rsidR="00415652" w:rsidRPr="00FD228A">
        <w:rPr>
          <w:rFonts w:cs="Segoe UI"/>
          <w:sz w:val="24"/>
          <w:szCs w:val="24"/>
        </w:rPr>
        <w:t>claim</w:t>
      </w:r>
      <w:r>
        <w:rPr>
          <w:rFonts w:cs="Segoe UI"/>
          <w:sz w:val="24"/>
          <w:szCs w:val="24"/>
        </w:rPr>
        <w:t>s</w:t>
      </w:r>
      <w:r w:rsidR="00415652" w:rsidRPr="00FD228A">
        <w:rPr>
          <w:rFonts w:cs="Segoe UI"/>
          <w:sz w:val="24"/>
          <w:szCs w:val="24"/>
        </w:rPr>
        <w:t xml:space="preserve"> is large and growing. For example, when we apply the total number of physical locations where back office systems </w:t>
      </w:r>
      <w:r w:rsidR="00415652" w:rsidRPr="00FD228A">
        <w:rPr>
          <w:rFonts w:cs="Segoe UI"/>
          <w:sz w:val="24"/>
          <w:szCs w:val="24"/>
        </w:rPr>
        <w:lastRenderedPageBreak/>
        <w:t>may reside in provider networks and the number of physicians creating data for the patient accounting system</w:t>
      </w:r>
      <w:r w:rsidR="00415652">
        <w:rPr>
          <w:rFonts w:cs="Segoe UI"/>
          <w:sz w:val="24"/>
          <w:szCs w:val="24"/>
        </w:rPr>
        <w:t>, the numbers look daunting (see the table</w:t>
      </w:r>
      <w:r w:rsidR="00415652" w:rsidRPr="00FD228A">
        <w:rPr>
          <w:rFonts w:cs="Segoe UI"/>
          <w:sz w:val="24"/>
          <w:szCs w:val="24"/>
        </w:rPr>
        <w:t xml:space="preserve"> below)</w:t>
      </w:r>
      <w:r w:rsidR="00415652">
        <w:rPr>
          <w:rFonts w:cs="Segoe UI"/>
          <w:sz w:val="24"/>
          <w:szCs w:val="24"/>
        </w:rPr>
        <w:t>.</w:t>
      </w:r>
      <w:r w:rsidR="00415652" w:rsidRPr="00FD228A">
        <w:rPr>
          <w:rFonts w:cs="Segoe UI"/>
          <w:sz w:val="24"/>
          <w:szCs w:val="24"/>
        </w:rPr>
        <w:t xml:space="preserve"> For this reason, in order to simplify the overall industry process </w:t>
      </w:r>
      <w:r w:rsidR="00415652">
        <w:rPr>
          <w:rFonts w:cs="Segoe UI"/>
          <w:sz w:val="24"/>
          <w:szCs w:val="24"/>
        </w:rPr>
        <w:t>similar to what</w:t>
      </w:r>
      <w:r w:rsidR="00415652" w:rsidRPr="00FD228A">
        <w:rPr>
          <w:rFonts w:cs="Segoe UI"/>
          <w:sz w:val="24"/>
          <w:szCs w:val="24"/>
        </w:rPr>
        <w:t xml:space="preserve"> has been done in the banking industr</w:t>
      </w:r>
      <w:r w:rsidR="00415652">
        <w:rPr>
          <w:rFonts w:cs="Segoe UI"/>
          <w:sz w:val="24"/>
          <w:szCs w:val="24"/>
        </w:rPr>
        <w:t xml:space="preserve">y, the creation of a </w:t>
      </w:r>
      <w:r w:rsidR="00415652" w:rsidRPr="00FD228A">
        <w:rPr>
          <w:rFonts w:cs="Segoe UI"/>
          <w:sz w:val="24"/>
          <w:szCs w:val="24"/>
        </w:rPr>
        <w:t>payments hub is strongly indicated.</w:t>
      </w:r>
    </w:p>
    <w:p w:rsidR="004F41C0" w:rsidRDefault="004F41C0" w:rsidP="00E336B7">
      <w:pPr>
        <w:jc w:val="center"/>
        <w:rPr>
          <w:b/>
        </w:rPr>
      </w:pPr>
      <w:bookmarkStart w:id="14" w:name="_Toc340052362"/>
    </w:p>
    <w:p w:rsidR="00415652" w:rsidRPr="0032160B" w:rsidRDefault="00E336B7" w:rsidP="00E336B7">
      <w:pPr>
        <w:jc w:val="center"/>
        <w:rPr>
          <w:b/>
        </w:rPr>
      </w:pPr>
      <w:r>
        <w:rPr>
          <w:b/>
        </w:rPr>
        <w:t>Sampling of E</w:t>
      </w:r>
      <w:r w:rsidR="00415652" w:rsidRPr="0032160B">
        <w:rPr>
          <w:b/>
        </w:rPr>
        <w:t xml:space="preserve">nd </w:t>
      </w:r>
      <w:r>
        <w:rPr>
          <w:b/>
        </w:rPr>
        <w:t>P</w:t>
      </w:r>
      <w:r w:rsidR="00415652" w:rsidRPr="0032160B">
        <w:rPr>
          <w:b/>
        </w:rPr>
        <w:t>oints</w:t>
      </w:r>
      <w:r>
        <w:rPr>
          <w:b/>
        </w:rPr>
        <w:t xml:space="preserve"> that Require H</w:t>
      </w:r>
      <w:r w:rsidR="00415652" w:rsidRPr="0032160B">
        <w:rPr>
          <w:b/>
        </w:rPr>
        <w:t>ealthcare EDI</w:t>
      </w:r>
      <w:bookmarkEnd w:id="14"/>
      <w:r w:rsidR="004F41C0">
        <w:rPr>
          <w:rStyle w:val="EndnoteReference"/>
          <w:rFonts w:cs="Segoe UI"/>
          <w:b/>
          <w:sz w:val="24"/>
          <w:szCs w:val="24"/>
        </w:rPr>
        <w:endnoteReference w:id="4"/>
      </w:r>
    </w:p>
    <w:tbl>
      <w:tblPr>
        <w:tblStyle w:val="LightGrid-Accent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916"/>
        <w:gridCol w:w="2394"/>
        <w:gridCol w:w="2394"/>
      </w:tblGrid>
      <w:tr w:rsidR="00415652" w:rsidTr="00D115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2" w:type="dxa"/>
            <w:shd w:val="clear" w:color="auto" w:fill="0032F0"/>
          </w:tcPr>
          <w:p w:rsidR="00415652" w:rsidRDefault="00415652" w:rsidP="005C6893">
            <w:pPr>
              <w:jc w:val="center"/>
            </w:pPr>
            <w:r>
              <w:t>Rank</w:t>
            </w:r>
          </w:p>
        </w:tc>
        <w:tc>
          <w:tcPr>
            <w:tcW w:w="3916" w:type="dxa"/>
            <w:shd w:val="clear" w:color="auto" w:fill="0032F0"/>
          </w:tcPr>
          <w:p w:rsidR="00415652" w:rsidRDefault="00415652" w:rsidP="005C6893">
            <w:pPr>
              <w:jc w:val="center"/>
              <w:cnfStyle w:val="100000000000" w:firstRow="1" w:lastRow="0" w:firstColumn="0" w:lastColumn="0" w:oddVBand="0" w:evenVBand="0" w:oddHBand="0" w:evenHBand="0" w:firstRowFirstColumn="0" w:firstRowLastColumn="0" w:lastRowFirstColumn="0" w:lastRowLastColumn="0"/>
            </w:pPr>
            <w:r>
              <w:t>Medical Group</w:t>
            </w:r>
          </w:p>
        </w:tc>
        <w:tc>
          <w:tcPr>
            <w:tcW w:w="2394" w:type="dxa"/>
            <w:shd w:val="clear" w:color="auto" w:fill="0032F0"/>
          </w:tcPr>
          <w:p w:rsidR="00415652" w:rsidRDefault="00415652" w:rsidP="005C6893">
            <w:pPr>
              <w:jc w:val="center"/>
              <w:cnfStyle w:val="100000000000" w:firstRow="1" w:lastRow="0" w:firstColumn="0" w:lastColumn="0" w:oddVBand="0" w:evenVBand="0" w:oddHBand="0" w:evenHBand="0" w:firstRowFirstColumn="0" w:firstRowLastColumn="0" w:lastRowFirstColumn="0" w:lastRowLastColumn="0"/>
            </w:pPr>
            <w:r>
              <w:t>Offices</w:t>
            </w:r>
          </w:p>
        </w:tc>
        <w:tc>
          <w:tcPr>
            <w:tcW w:w="2394" w:type="dxa"/>
            <w:shd w:val="clear" w:color="auto" w:fill="0032F0"/>
          </w:tcPr>
          <w:p w:rsidR="00415652" w:rsidRDefault="00415652" w:rsidP="005C6893">
            <w:pPr>
              <w:jc w:val="center"/>
              <w:cnfStyle w:val="100000000000" w:firstRow="1" w:lastRow="0" w:firstColumn="0" w:lastColumn="0" w:oddVBand="0" w:evenVBand="0" w:oddHBand="0" w:evenHBand="0" w:firstRowFirstColumn="0" w:firstRowLastColumn="0" w:lastRowFirstColumn="0" w:lastRowLastColumn="0"/>
            </w:pPr>
            <w:r>
              <w:t>Physicians</w:t>
            </w:r>
          </w:p>
        </w:tc>
      </w:tr>
      <w:tr w:rsidR="00415652" w:rsidRPr="00D631D9" w:rsidTr="00D115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1</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Kaiser Permanante Medical Group</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301</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7858</w:t>
            </w:r>
          </w:p>
        </w:tc>
      </w:tr>
      <w:tr w:rsidR="00415652" w:rsidRPr="00D631D9" w:rsidTr="005C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2</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Greater Houston Anesthesiology</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11</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2278</w:t>
            </w:r>
          </w:p>
        </w:tc>
      </w:tr>
      <w:tr w:rsidR="00415652" w:rsidRPr="00D631D9" w:rsidTr="005C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3</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Cleveland Clinic</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104</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1851</w:t>
            </w:r>
          </w:p>
        </w:tc>
      </w:tr>
      <w:tr w:rsidR="00415652" w:rsidRPr="00D631D9" w:rsidTr="005C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4</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MEDNAX (f.k.a. Pediatrix/Obstetrix Med Grp Nat)</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275</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1625</w:t>
            </w:r>
          </w:p>
        </w:tc>
      </w:tr>
      <w:tr w:rsidR="00415652" w:rsidRPr="00D631D9" w:rsidTr="005C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5</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Advanced Radiology</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19</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1349</w:t>
            </w:r>
          </w:p>
        </w:tc>
      </w:tr>
      <w:tr w:rsidR="00415652" w:rsidRPr="00D631D9" w:rsidTr="005C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6</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Mayo Clinic Jacksonville</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37</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1311</w:t>
            </w:r>
          </w:p>
        </w:tc>
      </w:tr>
      <w:tr w:rsidR="00415652" w:rsidRPr="00D631D9" w:rsidTr="005C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7</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Fairview Physician Associates</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194</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1295</w:t>
            </w:r>
          </w:p>
        </w:tc>
      </w:tr>
      <w:tr w:rsidR="00415652" w:rsidRPr="00D631D9" w:rsidTr="005C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8</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University Pittsburgh Phys</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156</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1215</w:t>
            </w:r>
          </w:p>
        </w:tc>
      </w:tr>
      <w:tr w:rsidR="00415652" w:rsidRPr="00D631D9" w:rsidTr="005C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9</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Palo Alto Medical Foundation</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47</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905</w:t>
            </w:r>
          </w:p>
        </w:tc>
      </w:tr>
      <w:tr w:rsidR="00415652" w:rsidRPr="00D631D9" w:rsidTr="005C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10</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Partners in Care</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850</w:t>
            </w:r>
          </w:p>
        </w:tc>
      </w:tr>
      <w:tr w:rsidR="00415652" w:rsidRPr="00D631D9" w:rsidTr="005C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11</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Henry Ford Medical Group</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60</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816</w:t>
            </w:r>
          </w:p>
        </w:tc>
      </w:tr>
      <w:tr w:rsidR="00415652" w:rsidRPr="00D631D9" w:rsidTr="005C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12</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Radiology Imaging Associates</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14</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796</w:t>
            </w:r>
          </w:p>
        </w:tc>
      </w:tr>
      <w:tr w:rsidR="00415652" w:rsidRPr="00D631D9" w:rsidTr="005C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13</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Aurora Medical Group</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88</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790</w:t>
            </w:r>
          </w:p>
        </w:tc>
      </w:tr>
      <w:tr w:rsidR="00415652" w:rsidRPr="00D631D9" w:rsidTr="005C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14</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Austin Radiological Assoc.</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12</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754</w:t>
            </w:r>
          </w:p>
        </w:tc>
      </w:tr>
      <w:tr w:rsidR="00415652" w:rsidRPr="00D631D9" w:rsidTr="005C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15</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Marshfield Clinic</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37</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699</w:t>
            </w:r>
          </w:p>
        </w:tc>
      </w:tr>
      <w:tr w:rsidR="00415652" w:rsidRPr="00D631D9" w:rsidTr="005C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16</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UC Davis Medical Group</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68</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673</w:t>
            </w:r>
          </w:p>
        </w:tc>
      </w:tr>
      <w:tr w:rsidR="00415652" w:rsidRPr="00D631D9" w:rsidTr="005C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17</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ENH Medical Group</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133</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664</w:t>
            </w:r>
          </w:p>
        </w:tc>
      </w:tr>
      <w:tr w:rsidR="00415652" w:rsidRPr="00D631D9" w:rsidTr="005C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18</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Harvard Vanguard Medical Associates</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23</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650</w:t>
            </w:r>
          </w:p>
        </w:tc>
      </w:tr>
      <w:tr w:rsidR="00415652" w:rsidRPr="00D631D9" w:rsidTr="005C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19</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Emory Clinic</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76</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636</w:t>
            </w:r>
          </w:p>
        </w:tc>
      </w:tr>
      <w:tr w:rsidR="00415652" w:rsidRPr="00D631D9" w:rsidTr="005C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20</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Geisinger Medical Center</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56</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616</w:t>
            </w:r>
          </w:p>
        </w:tc>
      </w:tr>
      <w:tr w:rsidR="00415652" w:rsidRPr="00D631D9" w:rsidTr="005C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21</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UW Health Clinics</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80</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612</w:t>
            </w:r>
          </w:p>
        </w:tc>
      </w:tr>
      <w:tr w:rsidR="00415652" w:rsidRPr="00D631D9" w:rsidTr="005C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22</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Ochsner Clinic</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27</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554</w:t>
            </w:r>
          </w:p>
        </w:tc>
      </w:tr>
      <w:tr w:rsidR="00415652" w:rsidRPr="00D631D9" w:rsidTr="005C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23</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Allina Medical Clinic Coon Rpds</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41</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552</w:t>
            </w:r>
          </w:p>
        </w:tc>
      </w:tr>
      <w:tr w:rsidR="00415652" w:rsidRPr="00D631D9" w:rsidTr="005C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24</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Carolinas Physician Network</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90</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631D9">
              <w:rPr>
                <w:rFonts w:asciiTheme="majorHAnsi" w:hAnsiTheme="majorHAnsi"/>
              </w:rPr>
              <w:t>539</w:t>
            </w:r>
          </w:p>
        </w:tc>
      </w:tr>
      <w:tr w:rsidR="00415652" w:rsidRPr="00D631D9" w:rsidTr="005C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pPr>
            <w:r w:rsidRPr="00D631D9">
              <w:t>25</w:t>
            </w:r>
          </w:p>
        </w:tc>
        <w:tc>
          <w:tcPr>
            <w:tcW w:w="3916"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LSU Healthcare Network Rhu</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55</w:t>
            </w:r>
          </w:p>
        </w:tc>
        <w:tc>
          <w:tcPr>
            <w:tcW w:w="2394" w:type="dxa"/>
            <w:tcBorders>
              <w:top w:val="none" w:sz="0" w:space="0" w:color="auto"/>
              <w:left w:val="none" w:sz="0" w:space="0" w:color="auto"/>
              <w:bottom w:val="none" w:sz="0" w:space="0" w:color="auto"/>
              <w:right w:val="none" w:sz="0" w:space="0" w:color="auto"/>
            </w:tcBorders>
          </w:tcPr>
          <w:p w:rsidR="00415652" w:rsidRPr="00D631D9" w:rsidRDefault="00415652" w:rsidP="005C6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31D9">
              <w:rPr>
                <w:rFonts w:asciiTheme="majorHAnsi" w:hAnsiTheme="majorHAnsi"/>
              </w:rPr>
              <w:t>532</w:t>
            </w:r>
          </w:p>
        </w:tc>
      </w:tr>
    </w:tbl>
    <w:p w:rsidR="00491EEB" w:rsidRDefault="00491EEB"/>
    <w:p w:rsidR="00F1105A" w:rsidRDefault="00F1105A" w:rsidP="00F1105A">
      <w:pPr>
        <w:pStyle w:val="Heading1"/>
      </w:pPr>
      <w:bookmarkStart w:id="15" w:name="_Toc345348385"/>
      <w:r>
        <w:t>Current Situation</w:t>
      </w:r>
      <w:bookmarkEnd w:id="15"/>
    </w:p>
    <w:p w:rsidR="00415652" w:rsidRPr="004351A3" w:rsidRDefault="00415652" w:rsidP="0032160B">
      <w:pPr>
        <w:pStyle w:val="Heading2"/>
      </w:pPr>
      <w:bookmarkStart w:id="16" w:name="_Toc340052363"/>
      <w:bookmarkStart w:id="17" w:name="_Toc345348386"/>
      <w:r w:rsidRPr="004351A3">
        <w:t>Overview of Current Claims Processes</w:t>
      </w:r>
      <w:bookmarkEnd w:id="16"/>
      <w:bookmarkEnd w:id="17"/>
    </w:p>
    <w:p w:rsidR="00415652" w:rsidRPr="007F7CC2" w:rsidRDefault="002B338F" w:rsidP="00415652">
      <w:pPr>
        <w:pStyle w:val="NoSpacing"/>
        <w:rPr>
          <w:sz w:val="24"/>
          <w:szCs w:val="24"/>
        </w:rPr>
      </w:pPr>
      <w:r>
        <w:rPr>
          <w:sz w:val="24"/>
          <w:szCs w:val="24"/>
        </w:rPr>
        <w:t xml:space="preserve">To determine </w:t>
      </w:r>
      <w:r w:rsidR="00415652" w:rsidRPr="007F7CC2">
        <w:rPr>
          <w:sz w:val="24"/>
          <w:szCs w:val="24"/>
        </w:rPr>
        <w:t>best practice</w:t>
      </w:r>
      <w:r>
        <w:rPr>
          <w:sz w:val="24"/>
          <w:szCs w:val="24"/>
        </w:rPr>
        <w:t>s</w:t>
      </w:r>
      <w:r w:rsidR="00415652" w:rsidRPr="007F7CC2">
        <w:rPr>
          <w:sz w:val="24"/>
          <w:szCs w:val="24"/>
        </w:rPr>
        <w:t xml:space="preserve"> for the future of remittance and settlement, it helps to understand the current state of claims processing.</w:t>
      </w:r>
      <w:r w:rsidR="000E50F7">
        <w:rPr>
          <w:sz w:val="24"/>
          <w:szCs w:val="24"/>
        </w:rPr>
        <w:t xml:space="preserve"> </w:t>
      </w:r>
      <w:r w:rsidR="00415652" w:rsidRPr="007F7CC2">
        <w:rPr>
          <w:sz w:val="24"/>
          <w:szCs w:val="24"/>
        </w:rPr>
        <w:t xml:space="preserve">Today, the infrastructure for claims and remittance is highly variable by provider type. </w:t>
      </w:r>
      <w:r w:rsidR="00415652">
        <w:rPr>
          <w:sz w:val="24"/>
          <w:szCs w:val="24"/>
        </w:rPr>
        <w:t>Most claim</w:t>
      </w:r>
      <w:r w:rsidR="00415652" w:rsidRPr="007F7CC2">
        <w:rPr>
          <w:sz w:val="24"/>
          <w:szCs w:val="24"/>
        </w:rPr>
        <w:t xml:space="preserve"> and remittance </w:t>
      </w:r>
      <w:r w:rsidR="00415652">
        <w:rPr>
          <w:sz w:val="24"/>
          <w:szCs w:val="24"/>
        </w:rPr>
        <w:t xml:space="preserve">transactions are communicated </w:t>
      </w:r>
      <w:r w:rsidR="00415652" w:rsidRPr="007F7CC2">
        <w:rPr>
          <w:sz w:val="24"/>
          <w:szCs w:val="24"/>
        </w:rPr>
        <w:t>electronic</w:t>
      </w:r>
      <w:r w:rsidR="00415652">
        <w:rPr>
          <w:sz w:val="24"/>
          <w:szCs w:val="24"/>
        </w:rPr>
        <w:t>ally</w:t>
      </w:r>
      <w:r>
        <w:rPr>
          <w:sz w:val="24"/>
          <w:szCs w:val="24"/>
        </w:rPr>
        <w:t>. Major providers often establish</w:t>
      </w:r>
      <w:r w:rsidR="00415652" w:rsidRPr="007F7CC2">
        <w:rPr>
          <w:sz w:val="24"/>
          <w:szCs w:val="24"/>
        </w:rPr>
        <w:t xml:space="preserve"> direct conne</w:t>
      </w:r>
      <w:r>
        <w:rPr>
          <w:sz w:val="24"/>
          <w:szCs w:val="24"/>
        </w:rPr>
        <w:t>ctions for larger entities</w:t>
      </w:r>
      <w:r w:rsidR="00415652" w:rsidRPr="007F7CC2">
        <w:rPr>
          <w:sz w:val="24"/>
          <w:szCs w:val="24"/>
        </w:rPr>
        <w:t xml:space="preserve"> such as Medicare but do not have direct connections for smaller payers. In those </w:t>
      </w:r>
      <w:r w:rsidR="00415652" w:rsidRPr="007F7CC2">
        <w:rPr>
          <w:sz w:val="24"/>
          <w:szCs w:val="24"/>
        </w:rPr>
        <w:lastRenderedPageBreak/>
        <w:t>cases, clearinghouses are typically used as a central aggregation hub. Smaller providers may use clearinghouses for all of the</w:t>
      </w:r>
      <w:r>
        <w:rPr>
          <w:sz w:val="24"/>
          <w:szCs w:val="24"/>
        </w:rPr>
        <w:t>ir</w:t>
      </w:r>
      <w:r w:rsidR="00415652" w:rsidRPr="007F7CC2">
        <w:rPr>
          <w:sz w:val="24"/>
          <w:szCs w:val="24"/>
        </w:rPr>
        <w:t xml:space="preserve"> claims submissions. </w:t>
      </w:r>
    </w:p>
    <w:p w:rsidR="00415652" w:rsidRPr="007F7CC2" w:rsidRDefault="00415652" w:rsidP="00415652">
      <w:pPr>
        <w:pStyle w:val="NoSpacing"/>
        <w:rPr>
          <w:sz w:val="24"/>
          <w:szCs w:val="24"/>
        </w:rPr>
      </w:pPr>
    </w:p>
    <w:p w:rsidR="00415652" w:rsidRPr="007F7CC2" w:rsidRDefault="00415652" w:rsidP="00415652">
      <w:pPr>
        <w:pStyle w:val="NoSpacing"/>
        <w:rPr>
          <w:sz w:val="24"/>
          <w:szCs w:val="24"/>
        </w:rPr>
      </w:pPr>
      <w:r>
        <w:rPr>
          <w:sz w:val="24"/>
          <w:szCs w:val="24"/>
        </w:rPr>
        <w:t>A provider's</w:t>
      </w:r>
      <w:r w:rsidRPr="007F7CC2">
        <w:rPr>
          <w:sz w:val="24"/>
          <w:szCs w:val="24"/>
        </w:rPr>
        <w:t xml:space="preserve"> healthcare information management system captures charges and </w:t>
      </w:r>
      <w:r w:rsidR="00B07FDD">
        <w:rPr>
          <w:sz w:val="24"/>
          <w:szCs w:val="24"/>
        </w:rPr>
        <w:t xml:space="preserve">ultimately </w:t>
      </w:r>
      <w:r w:rsidRPr="007F7CC2">
        <w:rPr>
          <w:sz w:val="24"/>
          <w:szCs w:val="24"/>
        </w:rPr>
        <w:t>creates a claim that is processed in the</w:t>
      </w:r>
      <w:r>
        <w:rPr>
          <w:sz w:val="24"/>
          <w:szCs w:val="24"/>
        </w:rPr>
        <w:t>ir</w:t>
      </w:r>
      <w:r w:rsidRPr="007F7CC2">
        <w:rPr>
          <w:sz w:val="24"/>
          <w:szCs w:val="24"/>
        </w:rPr>
        <w:t xml:space="preserve"> patient accounting system. Providers are at different stages of readiness for this process, which effectively creates an electronic bill and moves it from the clinical or care environment into a patient accounting or financial system environment.</w:t>
      </w:r>
      <w:r w:rsidR="000E50F7">
        <w:rPr>
          <w:sz w:val="24"/>
          <w:szCs w:val="24"/>
        </w:rPr>
        <w:t xml:space="preserve"> </w:t>
      </w:r>
      <w:r w:rsidR="00B07FDD">
        <w:rPr>
          <w:sz w:val="24"/>
          <w:szCs w:val="24"/>
        </w:rPr>
        <w:t xml:space="preserve">Of importance, </w:t>
      </w:r>
      <w:r w:rsidR="00F2130B">
        <w:rPr>
          <w:sz w:val="24"/>
          <w:szCs w:val="24"/>
        </w:rPr>
        <w:t>the industry has</w:t>
      </w:r>
      <w:r w:rsidR="00B07FDD">
        <w:rPr>
          <w:sz w:val="24"/>
          <w:szCs w:val="24"/>
        </w:rPr>
        <w:t xml:space="preserve"> migrate</w:t>
      </w:r>
      <w:r w:rsidR="00F2130B">
        <w:rPr>
          <w:sz w:val="24"/>
          <w:szCs w:val="24"/>
        </w:rPr>
        <w:t>d</w:t>
      </w:r>
      <w:r w:rsidR="00B07FDD">
        <w:rPr>
          <w:sz w:val="24"/>
          <w:szCs w:val="24"/>
        </w:rPr>
        <w:t xml:space="preserve"> from version 4010 of </w:t>
      </w:r>
      <w:r w:rsidR="00F2130B">
        <w:rPr>
          <w:sz w:val="24"/>
          <w:szCs w:val="24"/>
        </w:rPr>
        <w:t xml:space="preserve">the ASC </w:t>
      </w:r>
      <w:r w:rsidR="00B07FDD">
        <w:rPr>
          <w:sz w:val="24"/>
          <w:szCs w:val="24"/>
        </w:rPr>
        <w:t xml:space="preserve">health data transactions to version 5010. This will enable the provider to transfer the significant increase in coding as of October 2014, when the </w:t>
      </w:r>
      <w:hyperlink w:anchor="ICD9ICD10" w:history="1">
        <w:r w:rsidR="00B07FDD" w:rsidRPr="00884724">
          <w:rPr>
            <w:rStyle w:val="Hyperlink"/>
            <w:sz w:val="24"/>
            <w:szCs w:val="24"/>
          </w:rPr>
          <w:t>ICD-10</w:t>
        </w:r>
      </w:hyperlink>
      <w:r w:rsidR="00B07FDD">
        <w:rPr>
          <w:sz w:val="24"/>
          <w:szCs w:val="24"/>
        </w:rPr>
        <w:t xml:space="preserve"> coding system will be implemented nationally.</w:t>
      </w:r>
    </w:p>
    <w:p w:rsidR="00415652" w:rsidRDefault="00415652" w:rsidP="00415652">
      <w:pPr>
        <w:pStyle w:val="NoSpacing"/>
        <w:rPr>
          <w:sz w:val="24"/>
          <w:szCs w:val="24"/>
        </w:rPr>
      </w:pPr>
    </w:p>
    <w:p w:rsidR="00F2130B" w:rsidRPr="007F7CC2" w:rsidRDefault="00F2130B" w:rsidP="00F2130B">
      <w:pPr>
        <w:pStyle w:val="NoSpacing"/>
        <w:rPr>
          <w:sz w:val="24"/>
          <w:szCs w:val="24"/>
        </w:rPr>
      </w:pPr>
      <w:r>
        <w:rPr>
          <w:sz w:val="24"/>
          <w:szCs w:val="24"/>
        </w:rPr>
        <w:t xml:space="preserve">The </w:t>
      </w:r>
      <w:hyperlink w:anchor="HIPAA" w:history="1">
        <w:r w:rsidRPr="005016DA">
          <w:rPr>
            <w:rStyle w:val="Hyperlink"/>
            <w:sz w:val="24"/>
            <w:szCs w:val="24"/>
          </w:rPr>
          <w:t>HIPAA</w:t>
        </w:r>
      </w:hyperlink>
      <w:r>
        <w:rPr>
          <w:sz w:val="24"/>
          <w:szCs w:val="24"/>
        </w:rPr>
        <w:t>-mandated version 5010, an ASC X12 transaction, provides</w:t>
      </w:r>
      <w:r w:rsidRPr="007F7CC2">
        <w:rPr>
          <w:sz w:val="24"/>
          <w:szCs w:val="24"/>
        </w:rPr>
        <w:t xml:space="preserve"> the standard for the </w:t>
      </w:r>
      <w:r>
        <w:rPr>
          <w:sz w:val="24"/>
          <w:szCs w:val="24"/>
        </w:rPr>
        <w:t>structure of the healthcare</w:t>
      </w:r>
      <w:r w:rsidRPr="007F7CC2">
        <w:rPr>
          <w:sz w:val="24"/>
          <w:szCs w:val="24"/>
        </w:rPr>
        <w:t xml:space="preserve"> transaction</w:t>
      </w:r>
      <w:r>
        <w:rPr>
          <w:sz w:val="24"/>
          <w:szCs w:val="24"/>
        </w:rPr>
        <w:t>s. This</w:t>
      </w:r>
      <w:r w:rsidRPr="007F7CC2">
        <w:rPr>
          <w:sz w:val="24"/>
          <w:szCs w:val="24"/>
        </w:rPr>
        <w:t xml:space="preserve"> dictate</w:t>
      </w:r>
      <w:r>
        <w:rPr>
          <w:sz w:val="24"/>
          <w:szCs w:val="24"/>
        </w:rPr>
        <w:t>s</w:t>
      </w:r>
      <w:r w:rsidRPr="007F7CC2">
        <w:rPr>
          <w:sz w:val="24"/>
          <w:szCs w:val="24"/>
        </w:rPr>
        <w:t>, for example, where one needs to find the required processing information in the claim</w:t>
      </w:r>
      <w:r>
        <w:rPr>
          <w:sz w:val="24"/>
          <w:szCs w:val="24"/>
        </w:rPr>
        <w:t xml:space="preserve"> (X12 837) or </w:t>
      </w:r>
      <w:r w:rsidRPr="007F7CC2">
        <w:rPr>
          <w:sz w:val="24"/>
          <w:szCs w:val="24"/>
        </w:rPr>
        <w:t>remittance</w:t>
      </w:r>
      <w:r>
        <w:rPr>
          <w:sz w:val="24"/>
          <w:szCs w:val="24"/>
        </w:rPr>
        <w:t xml:space="preserve"> (X12 835)</w:t>
      </w:r>
      <w:r w:rsidRPr="007F7CC2">
        <w:rPr>
          <w:sz w:val="24"/>
          <w:szCs w:val="24"/>
        </w:rPr>
        <w:t>.</w:t>
      </w:r>
      <w:r>
        <w:rPr>
          <w:sz w:val="24"/>
          <w:szCs w:val="24"/>
        </w:rPr>
        <w:t xml:space="preserve"> </w:t>
      </w:r>
      <w:hyperlink w:anchor="ICD9ICD10" w:history="1">
        <w:r w:rsidRPr="00884724">
          <w:rPr>
            <w:rStyle w:val="Hyperlink"/>
            <w:sz w:val="24"/>
            <w:szCs w:val="24"/>
          </w:rPr>
          <w:t>ICD-9</w:t>
        </w:r>
      </w:hyperlink>
      <w:r w:rsidRPr="007F7CC2">
        <w:rPr>
          <w:sz w:val="24"/>
          <w:szCs w:val="24"/>
        </w:rPr>
        <w:t xml:space="preserve"> (moving to </w:t>
      </w:r>
      <w:hyperlink w:anchor="ICD9ICD10" w:history="1">
        <w:r w:rsidRPr="00884724">
          <w:rPr>
            <w:rStyle w:val="Hyperlink"/>
            <w:sz w:val="24"/>
            <w:szCs w:val="24"/>
          </w:rPr>
          <w:t>ICD-10</w:t>
        </w:r>
      </w:hyperlink>
      <w:r w:rsidRPr="007F7CC2">
        <w:rPr>
          <w:sz w:val="24"/>
          <w:szCs w:val="24"/>
        </w:rPr>
        <w:t xml:space="preserve">) describes </w:t>
      </w:r>
      <w:r>
        <w:rPr>
          <w:sz w:val="24"/>
          <w:szCs w:val="24"/>
        </w:rPr>
        <w:t xml:space="preserve">the procedures that were done. </w:t>
      </w:r>
      <w:r w:rsidRPr="007F7CC2">
        <w:rPr>
          <w:sz w:val="24"/>
          <w:szCs w:val="24"/>
        </w:rPr>
        <w:t>In addition these standards</w:t>
      </w:r>
      <w:r>
        <w:rPr>
          <w:sz w:val="24"/>
          <w:szCs w:val="24"/>
        </w:rPr>
        <w:t xml:space="preserve"> include </w:t>
      </w:r>
      <w:r w:rsidRPr="007F7CC2">
        <w:rPr>
          <w:sz w:val="24"/>
          <w:szCs w:val="24"/>
        </w:rPr>
        <w:t>contextual infor</w:t>
      </w:r>
      <w:r>
        <w:rPr>
          <w:sz w:val="24"/>
          <w:szCs w:val="24"/>
        </w:rPr>
        <w:t>mation such as demographics (e.g</w:t>
      </w:r>
      <w:r w:rsidRPr="007F7CC2">
        <w:rPr>
          <w:sz w:val="24"/>
          <w:szCs w:val="24"/>
        </w:rPr>
        <w:t>. patient name, address, insurance provider</w:t>
      </w:r>
      <w:r>
        <w:rPr>
          <w:sz w:val="24"/>
          <w:szCs w:val="24"/>
        </w:rPr>
        <w:t>,</w:t>
      </w:r>
      <w:r w:rsidRPr="007F7CC2">
        <w:rPr>
          <w:sz w:val="24"/>
          <w:szCs w:val="24"/>
        </w:rPr>
        <w:t xml:space="preserve"> etc.)</w:t>
      </w:r>
      <w:r>
        <w:rPr>
          <w:sz w:val="24"/>
          <w:szCs w:val="24"/>
        </w:rPr>
        <w:t>.</w:t>
      </w:r>
      <w:r w:rsidRPr="007F7CC2">
        <w:rPr>
          <w:sz w:val="24"/>
          <w:szCs w:val="24"/>
        </w:rPr>
        <w:t xml:space="preserve"> Finally, there are standards for supplementary attachments such as surgical reports and images. Though not implemented broadly, with the population shift to aging baby boomers it</w:t>
      </w:r>
      <w:r>
        <w:rPr>
          <w:sz w:val="24"/>
          <w:szCs w:val="24"/>
        </w:rPr>
        <w:t xml:space="preserve"> i</w:t>
      </w:r>
      <w:r w:rsidRPr="007F7CC2">
        <w:rPr>
          <w:sz w:val="24"/>
          <w:szCs w:val="24"/>
        </w:rPr>
        <w:t xml:space="preserve">s likely these standards will become more commonly used. </w:t>
      </w:r>
    </w:p>
    <w:p w:rsidR="00F2130B" w:rsidRPr="007F7CC2" w:rsidRDefault="00F2130B" w:rsidP="00F2130B">
      <w:pPr>
        <w:pStyle w:val="NoSpacing"/>
        <w:rPr>
          <w:sz w:val="24"/>
          <w:szCs w:val="24"/>
        </w:rPr>
      </w:pPr>
    </w:p>
    <w:p w:rsidR="00F2130B" w:rsidRDefault="00F2130B" w:rsidP="00F2130B">
      <w:pPr>
        <w:pStyle w:val="NoSpacing"/>
        <w:rPr>
          <w:sz w:val="24"/>
          <w:szCs w:val="24"/>
        </w:rPr>
      </w:pPr>
      <w:r w:rsidRPr="007F7CC2">
        <w:rPr>
          <w:sz w:val="24"/>
          <w:szCs w:val="24"/>
        </w:rPr>
        <w:t>Another health data transaction that is integral to the patient visit is eligibility</w:t>
      </w:r>
      <w:r>
        <w:rPr>
          <w:sz w:val="24"/>
          <w:szCs w:val="24"/>
        </w:rPr>
        <w:t xml:space="preserve"> (X12 270/271)</w:t>
      </w:r>
      <w:r w:rsidRPr="007F7CC2">
        <w:rPr>
          <w:sz w:val="24"/>
          <w:szCs w:val="24"/>
        </w:rPr>
        <w:t xml:space="preserve">. Pre-qualification fields in </w:t>
      </w:r>
      <w:r>
        <w:rPr>
          <w:sz w:val="24"/>
          <w:szCs w:val="24"/>
        </w:rPr>
        <w:t>this transaction</w:t>
      </w:r>
      <w:r w:rsidRPr="007F7CC2">
        <w:rPr>
          <w:sz w:val="24"/>
          <w:szCs w:val="24"/>
        </w:rPr>
        <w:t xml:space="preserve"> may be used for full “pre-certification”. Pre-certification goes beyond basic eligibility of coverage and indicates additional criteria such as whether the patient has met their deductible or whether a particular type of procedure is covered. Pre-certification could indicate what condition the patient has and what procedure is going to be performed. Authorization by the payer is granted or the payer </w:t>
      </w:r>
      <w:r>
        <w:rPr>
          <w:sz w:val="24"/>
          <w:szCs w:val="24"/>
        </w:rPr>
        <w:t xml:space="preserve">may </w:t>
      </w:r>
      <w:r w:rsidRPr="007F7CC2">
        <w:rPr>
          <w:sz w:val="24"/>
          <w:szCs w:val="24"/>
        </w:rPr>
        <w:t>decline the procedure as “not covered” resulting in the need to collect additi</w:t>
      </w:r>
      <w:r>
        <w:rPr>
          <w:sz w:val="24"/>
          <w:szCs w:val="24"/>
        </w:rPr>
        <w:t xml:space="preserve">onal payments from the patient </w:t>
      </w:r>
      <w:r w:rsidRPr="007F7CC2">
        <w:rPr>
          <w:sz w:val="24"/>
          <w:szCs w:val="24"/>
        </w:rPr>
        <w:t xml:space="preserve">or </w:t>
      </w:r>
      <w:r>
        <w:rPr>
          <w:sz w:val="24"/>
          <w:szCs w:val="24"/>
        </w:rPr>
        <w:t>necessitating an appeal to the payer</w:t>
      </w:r>
      <w:r w:rsidRPr="007F7CC2">
        <w:rPr>
          <w:sz w:val="24"/>
          <w:szCs w:val="24"/>
        </w:rPr>
        <w:t xml:space="preserve">. This information then enables collection of partial to full payment at point of service. </w:t>
      </w:r>
    </w:p>
    <w:p w:rsidR="00F2130B" w:rsidRDefault="00F2130B" w:rsidP="00415652">
      <w:pPr>
        <w:pStyle w:val="NoSpacing"/>
        <w:rPr>
          <w:sz w:val="24"/>
          <w:szCs w:val="24"/>
        </w:rPr>
      </w:pPr>
    </w:p>
    <w:p w:rsidR="00415652" w:rsidRPr="007F7CC2" w:rsidRDefault="00415652" w:rsidP="00415652">
      <w:pPr>
        <w:pStyle w:val="NoSpacing"/>
        <w:rPr>
          <w:sz w:val="24"/>
          <w:szCs w:val="24"/>
        </w:rPr>
      </w:pPr>
      <w:r>
        <w:rPr>
          <w:sz w:val="24"/>
          <w:szCs w:val="24"/>
        </w:rPr>
        <w:t>As an example of how the process currently works, a</w:t>
      </w:r>
      <w:r w:rsidRPr="007F7CC2">
        <w:rPr>
          <w:sz w:val="24"/>
          <w:szCs w:val="24"/>
        </w:rPr>
        <w:t xml:space="preserve"> major ho</w:t>
      </w:r>
      <w:r>
        <w:rPr>
          <w:sz w:val="24"/>
          <w:szCs w:val="24"/>
        </w:rPr>
        <w:t>spital surveyed for this report</w:t>
      </w:r>
      <w:r w:rsidRPr="007F7CC2">
        <w:rPr>
          <w:sz w:val="24"/>
          <w:szCs w:val="24"/>
        </w:rPr>
        <w:t xml:space="preserve"> uses a partial</w:t>
      </w:r>
      <w:r w:rsidR="00F2130B">
        <w:rPr>
          <w:sz w:val="24"/>
          <w:szCs w:val="24"/>
        </w:rPr>
        <w:t>ly</w:t>
      </w:r>
      <w:r w:rsidRPr="007F7CC2">
        <w:rPr>
          <w:sz w:val="24"/>
          <w:szCs w:val="24"/>
        </w:rPr>
        <w:t xml:space="preserve"> outsource</w:t>
      </w:r>
      <w:r w:rsidR="00F2130B">
        <w:rPr>
          <w:sz w:val="24"/>
          <w:szCs w:val="24"/>
        </w:rPr>
        <w:t>d</w:t>
      </w:r>
      <w:r w:rsidRPr="007F7CC2">
        <w:rPr>
          <w:sz w:val="24"/>
          <w:szCs w:val="24"/>
        </w:rPr>
        <w:t xml:space="preserve"> model in which a third party assembles batches of claims and remittances and coordinates the deposits to their financial institutions.</w:t>
      </w:r>
      <w:r w:rsidR="000E50F7">
        <w:rPr>
          <w:sz w:val="24"/>
          <w:szCs w:val="24"/>
        </w:rPr>
        <w:t xml:space="preserve"> </w:t>
      </w:r>
      <w:r>
        <w:rPr>
          <w:sz w:val="24"/>
          <w:szCs w:val="24"/>
        </w:rPr>
        <w:t>The</w:t>
      </w:r>
      <w:r w:rsidRPr="007F7CC2">
        <w:rPr>
          <w:sz w:val="24"/>
          <w:szCs w:val="24"/>
        </w:rPr>
        <w:t xml:space="preserve"> hospital is bound to the formats and “standards” of the third party</w:t>
      </w:r>
      <w:r w:rsidR="00EB3BFE">
        <w:rPr>
          <w:sz w:val="24"/>
          <w:szCs w:val="24"/>
        </w:rPr>
        <w:t xml:space="preserve"> and is</w:t>
      </w:r>
      <w:r w:rsidRPr="007F7CC2">
        <w:rPr>
          <w:sz w:val="24"/>
          <w:szCs w:val="24"/>
        </w:rPr>
        <w:t xml:space="preserve"> requir</w:t>
      </w:r>
      <w:r>
        <w:rPr>
          <w:sz w:val="24"/>
          <w:szCs w:val="24"/>
        </w:rPr>
        <w:t xml:space="preserve">ed to maintain </w:t>
      </w:r>
      <w:r w:rsidR="00EB3BFE">
        <w:rPr>
          <w:sz w:val="24"/>
          <w:szCs w:val="24"/>
        </w:rPr>
        <w:t xml:space="preserve">these </w:t>
      </w:r>
      <w:r>
        <w:rPr>
          <w:sz w:val="24"/>
          <w:szCs w:val="24"/>
        </w:rPr>
        <w:t>at their expense. This includes</w:t>
      </w:r>
      <w:r w:rsidRPr="007F7CC2">
        <w:rPr>
          <w:sz w:val="24"/>
          <w:szCs w:val="24"/>
        </w:rPr>
        <w:t xml:space="preserve"> keeping them up to date </w:t>
      </w:r>
      <w:r w:rsidR="004C55B5">
        <w:rPr>
          <w:sz w:val="24"/>
          <w:szCs w:val="24"/>
        </w:rPr>
        <w:t xml:space="preserve">any time </w:t>
      </w:r>
      <w:r w:rsidRPr="007F7CC2">
        <w:rPr>
          <w:sz w:val="24"/>
          <w:szCs w:val="24"/>
        </w:rPr>
        <w:t>there is a system cha</w:t>
      </w:r>
      <w:r w:rsidR="004C55B5">
        <w:rPr>
          <w:sz w:val="24"/>
          <w:szCs w:val="24"/>
        </w:rPr>
        <w:t>nge. On the other hand, when a</w:t>
      </w:r>
      <w:r w:rsidRPr="007F7CC2">
        <w:rPr>
          <w:sz w:val="24"/>
          <w:szCs w:val="24"/>
        </w:rPr>
        <w:t xml:space="preserve"> hospital uses a claims clearinghouse, the clearinghouse implements the</w:t>
      </w:r>
      <w:r w:rsidR="004C55B5">
        <w:rPr>
          <w:sz w:val="24"/>
          <w:szCs w:val="24"/>
        </w:rPr>
        <w:t xml:space="preserve"> on</w:t>
      </w:r>
      <w:r>
        <w:rPr>
          <w:sz w:val="24"/>
          <w:szCs w:val="24"/>
        </w:rPr>
        <w:t>going changes in data and</w:t>
      </w:r>
      <w:r w:rsidRPr="007F7CC2">
        <w:rPr>
          <w:sz w:val="24"/>
          <w:szCs w:val="24"/>
        </w:rPr>
        <w:t xml:space="preserve"> formats as part of the</w:t>
      </w:r>
      <w:r>
        <w:rPr>
          <w:sz w:val="24"/>
          <w:szCs w:val="24"/>
        </w:rPr>
        <w:t>ir</w:t>
      </w:r>
      <w:r w:rsidRPr="007F7CC2">
        <w:rPr>
          <w:sz w:val="24"/>
          <w:szCs w:val="24"/>
        </w:rPr>
        <w:t xml:space="preserve"> routine maintenance. In both cases, whether using a partial</w:t>
      </w:r>
      <w:r w:rsidR="00F2130B">
        <w:rPr>
          <w:sz w:val="24"/>
          <w:szCs w:val="24"/>
        </w:rPr>
        <w:t>ly</w:t>
      </w:r>
      <w:r w:rsidRPr="007F7CC2">
        <w:rPr>
          <w:sz w:val="24"/>
          <w:szCs w:val="24"/>
        </w:rPr>
        <w:t xml:space="preserve"> outsource</w:t>
      </w:r>
      <w:r w:rsidR="00F2130B">
        <w:rPr>
          <w:sz w:val="24"/>
          <w:szCs w:val="24"/>
        </w:rPr>
        <w:t>d</w:t>
      </w:r>
      <w:r w:rsidRPr="007F7CC2">
        <w:rPr>
          <w:sz w:val="24"/>
          <w:szCs w:val="24"/>
        </w:rPr>
        <w:t xml:space="preserve"> model or using a clearinghouse, the hospital is relying on point-to-point electronic interfaces in the form of Internet tunnel </w:t>
      </w:r>
      <w:hyperlink w:anchor="VPN" w:history="1">
        <w:r w:rsidRPr="003D3325">
          <w:rPr>
            <w:rStyle w:val="Hyperlink"/>
            <w:sz w:val="24"/>
            <w:szCs w:val="24"/>
          </w:rPr>
          <w:t>VPN</w:t>
        </w:r>
      </w:hyperlink>
      <w:r w:rsidRPr="007F7CC2">
        <w:rPr>
          <w:sz w:val="24"/>
          <w:szCs w:val="24"/>
        </w:rPr>
        <w:t>, VAN (Value added network)</w:t>
      </w:r>
      <w:r>
        <w:rPr>
          <w:sz w:val="24"/>
          <w:szCs w:val="24"/>
        </w:rPr>
        <w:t>,</w:t>
      </w:r>
      <w:r w:rsidRPr="007F7CC2">
        <w:rPr>
          <w:sz w:val="24"/>
          <w:szCs w:val="24"/>
        </w:rPr>
        <w:t xml:space="preserve"> or some oth</w:t>
      </w:r>
      <w:r w:rsidR="004C55B5">
        <w:rPr>
          <w:sz w:val="24"/>
          <w:szCs w:val="24"/>
        </w:rPr>
        <w:t>er exchange protocol</w:t>
      </w:r>
      <w:r w:rsidR="00EB3BFE">
        <w:rPr>
          <w:sz w:val="24"/>
          <w:szCs w:val="24"/>
        </w:rPr>
        <w:t xml:space="preserve"> to exchange claims data</w:t>
      </w:r>
      <w:r w:rsidR="004C55B5">
        <w:rPr>
          <w:sz w:val="24"/>
          <w:szCs w:val="24"/>
        </w:rPr>
        <w:t>.</w:t>
      </w:r>
      <w:r w:rsidR="000E50F7">
        <w:rPr>
          <w:sz w:val="24"/>
          <w:szCs w:val="24"/>
        </w:rPr>
        <w:t xml:space="preserve"> </w:t>
      </w:r>
      <w:r w:rsidR="004C55B5">
        <w:rPr>
          <w:sz w:val="24"/>
          <w:szCs w:val="24"/>
        </w:rPr>
        <w:t xml:space="preserve">There are </w:t>
      </w:r>
      <w:r>
        <w:rPr>
          <w:sz w:val="24"/>
          <w:szCs w:val="24"/>
        </w:rPr>
        <w:t>no</w:t>
      </w:r>
      <w:r w:rsidRPr="007F7CC2">
        <w:rPr>
          <w:sz w:val="24"/>
          <w:szCs w:val="24"/>
        </w:rPr>
        <w:t xml:space="preserve"> standard information highway “on ramps”, “off ramps”, </w:t>
      </w:r>
      <w:r>
        <w:rPr>
          <w:sz w:val="24"/>
          <w:szCs w:val="24"/>
        </w:rPr>
        <w:t xml:space="preserve">or "fast </w:t>
      </w:r>
      <w:r w:rsidRPr="007F7CC2">
        <w:rPr>
          <w:sz w:val="24"/>
          <w:szCs w:val="24"/>
        </w:rPr>
        <w:t>lanes</w:t>
      </w:r>
      <w:r>
        <w:rPr>
          <w:sz w:val="24"/>
          <w:szCs w:val="24"/>
        </w:rPr>
        <w:t>"</w:t>
      </w:r>
      <w:r w:rsidRPr="007F7CC2">
        <w:rPr>
          <w:sz w:val="24"/>
          <w:szCs w:val="24"/>
        </w:rPr>
        <w:t xml:space="preserve"> on which the data travels.</w:t>
      </w:r>
      <w:r w:rsidR="000E50F7">
        <w:rPr>
          <w:sz w:val="24"/>
          <w:szCs w:val="24"/>
        </w:rPr>
        <w:t xml:space="preserve"> </w:t>
      </w:r>
    </w:p>
    <w:p w:rsidR="00415652" w:rsidRPr="007F7CC2" w:rsidRDefault="00415652" w:rsidP="00415652">
      <w:pPr>
        <w:pStyle w:val="NoSpacing"/>
        <w:rPr>
          <w:sz w:val="24"/>
          <w:szCs w:val="24"/>
        </w:rPr>
      </w:pPr>
    </w:p>
    <w:p w:rsidR="00F07A3C" w:rsidRDefault="00F07A3C" w:rsidP="00415652">
      <w:pPr>
        <w:pStyle w:val="NoSpacing"/>
        <w:rPr>
          <w:sz w:val="24"/>
          <w:szCs w:val="24"/>
        </w:rPr>
      </w:pPr>
    </w:p>
    <w:p w:rsidR="00EB3BFE" w:rsidRDefault="00EB3BFE" w:rsidP="00415652">
      <w:pPr>
        <w:pStyle w:val="NoSpacing"/>
        <w:rPr>
          <w:sz w:val="24"/>
          <w:szCs w:val="24"/>
        </w:rPr>
      </w:pPr>
      <w:r>
        <w:rPr>
          <w:sz w:val="24"/>
          <w:szCs w:val="24"/>
        </w:rPr>
        <w:t>While we have articulated a very small fraction of the types of health data communications that are routinely among the healthcare stakeholders, it should become evident that</w:t>
      </w:r>
      <w:r w:rsidR="000E50F7">
        <w:rPr>
          <w:sz w:val="24"/>
          <w:szCs w:val="24"/>
        </w:rPr>
        <w:t xml:space="preserve"> </w:t>
      </w:r>
      <w:r w:rsidR="00415652" w:rsidRPr="00FD228A">
        <w:rPr>
          <w:sz w:val="24"/>
          <w:szCs w:val="24"/>
        </w:rPr>
        <w:t xml:space="preserve">the </w:t>
      </w:r>
      <w:r w:rsidR="00415652" w:rsidRPr="00FD228A">
        <w:rPr>
          <w:sz w:val="24"/>
          <w:szCs w:val="24"/>
        </w:rPr>
        <w:lastRenderedPageBreak/>
        <w:t>number of connections across the entire healthcare payment landscape is significant. Note that payers and their office locations, providers and their office locations,</w:t>
      </w:r>
      <w:r w:rsidR="00F07A3C">
        <w:rPr>
          <w:sz w:val="24"/>
          <w:szCs w:val="24"/>
        </w:rPr>
        <w:t xml:space="preserve"> clearinghouses, lockboxes, </w:t>
      </w:r>
      <w:r w:rsidR="00415652" w:rsidRPr="00FD228A">
        <w:rPr>
          <w:sz w:val="24"/>
          <w:szCs w:val="24"/>
        </w:rPr>
        <w:t>associated counterparty banks</w:t>
      </w:r>
      <w:r w:rsidR="00F07A3C">
        <w:rPr>
          <w:sz w:val="24"/>
          <w:szCs w:val="24"/>
        </w:rPr>
        <w:t>,</w:t>
      </w:r>
      <w:r w:rsidR="00415652" w:rsidRPr="00FD228A">
        <w:rPr>
          <w:sz w:val="24"/>
          <w:szCs w:val="24"/>
        </w:rPr>
        <w:t xml:space="preserve"> and their connected </w:t>
      </w:r>
      <w:hyperlink w:anchor="ACH" w:history="1">
        <w:r w:rsidR="00415652" w:rsidRPr="00B7289A">
          <w:rPr>
            <w:rStyle w:val="Hyperlink"/>
            <w:sz w:val="24"/>
            <w:szCs w:val="24"/>
          </w:rPr>
          <w:t>ACH</w:t>
        </w:r>
      </w:hyperlink>
      <w:r w:rsidR="00415652" w:rsidRPr="00FD228A">
        <w:rPr>
          <w:sz w:val="24"/>
          <w:szCs w:val="24"/>
        </w:rPr>
        <w:t xml:space="preserve"> network end-points should </w:t>
      </w:r>
      <w:r w:rsidR="00415652">
        <w:rPr>
          <w:sz w:val="24"/>
          <w:szCs w:val="24"/>
        </w:rPr>
        <w:t xml:space="preserve">also </w:t>
      </w:r>
      <w:r w:rsidR="00415652" w:rsidRPr="00FD228A">
        <w:rPr>
          <w:sz w:val="24"/>
          <w:szCs w:val="24"/>
        </w:rPr>
        <w:t xml:space="preserve">be included. </w:t>
      </w:r>
    </w:p>
    <w:p w:rsidR="00EB3BFE" w:rsidRDefault="00EB3BFE" w:rsidP="00415652">
      <w:pPr>
        <w:pStyle w:val="NoSpacing"/>
        <w:rPr>
          <w:sz w:val="24"/>
          <w:szCs w:val="24"/>
        </w:rPr>
      </w:pPr>
    </w:p>
    <w:p w:rsidR="00415652" w:rsidRPr="00FD228A" w:rsidRDefault="00F2130B" w:rsidP="00415652">
      <w:pPr>
        <w:pStyle w:val="NoSpacing"/>
        <w:rPr>
          <w:sz w:val="24"/>
          <w:szCs w:val="24"/>
        </w:rPr>
      </w:pPr>
      <w:r>
        <w:rPr>
          <w:sz w:val="24"/>
          <w:szCs w:val="24"/>
        </w:rPr>
        <w:t xml:space="preserve">Looking </w:t>
      </w:r>
      <w:r w:rsidR="00415652" w:rsidRPr="00FD228A">
        <w:rPr>
          <w:sz w:val="24"/>
          <w:szCs w:val="24"/>
        </w:rPr>
        <w:t xml:space="preserve">to the future, </w:t>
      </w:r>
      <w:r>
        <w:rPr>
          <w:sz w:val="24"/>
          <w:szCs w:val="24"/>
        </w:rPr>
        <w:t xml:space="preserve">it is likely </w:t>
      </w:r>
      <w:r w:rsidR="00EB3BFE">
        <w:rPr>
          <w:sz w:val="24"/>
          <w:szCs w:val="24"/>
        </w:rPr>
        <w:t xml:space="preserve">that </w:t>
      </w:r>
      <w:r w:rsidR="00E214C7">
        <w:rPr>
          <w:sz w:val="24"/>
          <w:szCs w:val="24"/>
        </w:rPr>
        <w:t>more claim</w:t>
      </w:r>
      <w:r>
        <w:rPr>
          <w:sz w:val="24"/>
          <w:szCs w:val="24"/>
        </w:rPr>
        <w:t>s</w:t>
      </w:r>
      <w:r w:rsidR="00415652" w:rsidRPr="00FD228A">
        <w:rPr>
          <w:sz w:val="24"/>
          <w:szCs w:val="24"/>
        </w:rPr>
        <w:t xml:space="preserve"> data</w:t>
      </w:r>
      <w:r w:rsidR="00EB3BFE">
        <w:rPr>
          <w:sz w:val="24"/>
          <w:szCs w:val="24"/>
        </w:rPr>
        <w:t>, will be</w:t>
      </w:r>
      <w:r w:rsidR="00415652" w:rsidRPr="00FD228A">
        <w:rPr>
          <w:sz w:val="24"/>
          <w:szCs w:val="24"/>
        </w:rPr>
        <w:t xml:space="preserve"> required by payers</w:t>
      </w:r>
      <w:r w:rsidR="00EB3BFE">
        <w:rPr>
          <w:sz w:val="24"/>
          <w:szCs w:val="24"/>
        </w:rPr>
        <w:t>. This</w:t>
      </w:r>
      <w:r w:rsidR="00E214C7">
        <w:rPr>
          <w:sz w:val="24"/>
          <w:szCs w:val="24"/>
        </w:rPr>
        <w:t xml:space="preserve"> </w:t>
      </w:r>
      <w:r w:rsidR="00415652" w:rsidRPr="00FD228A">
        <w:rPr>
          <w:sz w:val="24"/>
          <w:szCs w:val="24"/>
        </w:rPr>
        <w:t>will</w:t>
      </w:r>
      <w:r w:rsidR="00E214C7">
        <w:rPr>
          <w:sz w:val="24"/>
          <w:szCs w:val="24"/>
        </w:rPr>
        <w:t xml:space="preserve"> </w:t>
      </w:r>
      <w:r w:rsidR="00415652">
        <w:rPr>
          <w:sz w:val="24"/>
          <w:szCs w:val="24"/>
        </w:rPr>
        <w:t xml:space="preserve">further </w:t>
      </w:r>
      <w:r w:rsidR="00415652" w:rsidRPr="00FD228A">
        <w:rPr>
          <w:sz w:val="24"/>
          <w:szCs w:val="24"/>
        </w:rPr>
        <w:t xml:space="preserve">increase </w:t>
      </w:r>
      <w:r w:rsidR="00415652">
        <w:rPr>
          <w:sz w:val="24"/>
          <w:szCs w:val="24"/>
        </w:rPr>
        <w:t>the EDI</w:t>
      </w:r>
      <w:r w:rsidR="00415652" w:rsidRPr="00FD228A">
        <w:rPr>
          <w:sz w:val="24"/>
          <w:szCs w:val="24"/>
        </w:rPr>
        <w:t xml:space="preserve"> traffic</w:t>
      </w:r>
      <w:r w:rsidR="00415652">
        <w:rPr>
          <w:sz w:val="24"/>
          <w:szCs w:val="24"/>
        </w:rPr>
        <w:t>. Consider the explosion</w:t>
      </w:r>
      <w:r w:rsidR="00415652" w:rsidRPr="00FD228A">
        <w:rPr>
          <w:sz w:val="24"/>
          <w:szCs w:val="24"/>
        </w:rPr>
        <w:t xml:space="preserve"> of diagnosis and procedure codes as the industry moves from </w:t>
      </w:r>
      <w:hyperlink w:anchor="ICD9ICD10" w:history="1">
        <w:r w:rsidR="00415652" w:rsidRPr="00884724">
          <w:rPr>
            <w:rStyle w:val="Hyperlink"/>
            <w:sz w:val="24"/>
            <w:szCs w:val="24"/>
          </w:rPr>
          <w:t>ICD-9</w:t>
        </w:r>
      </w:hyperlink>
      <w:r w:rsidR="00415652" w:rsidRPr="00FD228A">
        <w:rPr>
          <w:sz w:val="24"/>
          <w:szCs w:val="24"/>
        </w:rPr>
        <w:t xml:space="preserve"> to </w:t>
      </w:r>
      <w:hyperlink w:anchor="ICD9ICD10" w:history="1">
        <w:r w:rsidR="00415652" w:rsidRPr="00884724">
          <w:rPr>
            <w:rStyle w:val="Hyperlink"/>
            <w:sz w:val="24"/>
            <w:szCs w:val="24"/>
          </w:rPr>
          <w:t>ICD-10</w:t>
        </w:r>
      </w:hyperlink>
      <w:r w:rsidR="00F07A3C">
        <w:rPr>
          <w:sz w:val="24"/>
          <w:szCs w:val="24"/>
        </w:rPr>
        <w:t xml:space="preserve">, a change that will </w:t>
      </w:r>
      <w:r w:rsidR="00415652" w:rsidRPr="00FD228A">
        <w:rPr>
          <w:sz w:val="24"/>
          <w:szCs w:val="24"/>
        </w:rPr>
        <w:t xml:space="preserve">more precisely codify the patient episode. The need for a more robust data transfer system </w:t>
      </w:r>
      <w:r w:rsidR="00415652">
        <w:rPr>
          <w:sz w:val="24"/>
          <w:szCs w:val="24"/>
        </w:rPr>
        <w:t>begs the question of whether</w:t>
      </w:r>
      <w:r w:rsidR="00415652" w:rsidRPr="00FD228A">
        <w:rPr>
          <w:sz w:val="24"/>
          <w:szCs w:val="24"/>
        </w:rPr>
        <w:t xml:space="preserve"> the right infrastructure</w:t>
      </w:r>
      <w:r w:rsidR="007866D9">
        <w:rPr>
          <w:sz w:val="24"/>
          <w:szCs w:val="24"/>
        </w:rPr>
        <w:t xml:space="preserve"> is</w:t>
      </w:r>
      <w:r w:rsidR="00415652" w:rsidRPr="00FD228A">
        <w:rPr>
          <w:sz w:val="24"/>
          <w:szCs w:val="24"/>
        </w:rPr>
        <w:t xml:space="preserve"> in place to handle the increa</w:t>
      </w:r>
      <w:r w:rsidR="00415652">
        <w:rPr>
          <w:sz w:val="24"/>
          <w:szCs w:val="24"/>
        </w:rPr>
        <w:t>sing intensity of data exchange.</w:t>
      </w:r>
    </w:p>
    <w:p w:rsidR="00415652" w:rsidRDefault="00415652" w:rsidP="00415652">
      <w:pPr>
        <w:pStyle w:val="NoSpacing"/>
        <w:rPr>
          <w:sz w:val="24"/>
          <w:szCs w:val="24"/>
        </w:rPr>
      </w:pPr>
    </w:p>
    <w:p w:rsidR="00415652" w:rsidRPr="005013B8" w:rsidRDefault="00415652" w:rsidP="00415652">
      <w:pPr>
        <w:pStyle w:val="NoSpacing"/>
        <w:rPr>
          <w:sz w:val="24"/>
          <w:szCs w:val="24"/>
        </w:rPr>
      </w:pPr>
      <w:r w:rsidRPr="005013B8">
        <w:rPr>
          <w:sz w:val="24"/>
          <w:szCs w:val="24"/>
        </w:rPr>
        <w:t>For banks to play a more meaningful role in healthcare information management and payments, they will require a highly secur</w:t>
      </w:r>
      <w:r>
        <w:rPr>
          <w:sz w:val="24"/>
          <w:szCs w:val="24"/>
        </w:rPr>
        <w:t xml:space="preserve">e transport </w:t>
      </w:r>
      <w:r w:rsidR="00F2130B">
        <w:rPr>
          <w:sz w:val="24"/>
          <w:szCs w:val="24"/>
        </w:rPr>
        <w:t xml:space="preserve">network </w:t>
      </w:r>
      <w:r>
        <w:rPr>
          <w:sz w:val="24"/>
          <w:szCs w:val="24"/>
        </w:rPr>
        <w:t>beyond the I</w:t>
      </w:r>
      <w:r w:rsidRPr="005013B8">
        <w:rPr>
          <w:sz w:val="24"/>
          <w:szCs w:val="24"/>
        </w:rPr>
        <w:t xml:space="preserve">nternet for limiting exposure under </w:t>
      </w:r>
      <w:hyperlink w:anchor="HIPAA" w:history="1">
        <w:r w:rsidRPr="005016DA">
          <w:rPr>
            <w:rStyle w:val="Hyperlink"/>
            <w:sz w:val="24"/>
            <w:szCs w:val="24"/>
          </w:rPr>
          <w:t>HIPAA</w:t>
        </w:r>
      </w:hyperlink>
      <w:r w:rsidRPr="005013B8">
        <w:rPr>
          <w:sz w:val="24"/>
          <w:szCs w:val="24"/>
        </w:rPr>
        <w:t>.</w:t>
      </w:r>
      <w:r w:rsidR="000E50F7">
        <w:rPr>
          <w:sz w:val="24"/>
          <w:szCs w:val="24"/>
        </w:rPr>
        <w:t xml:space="preserve"> </w:t>
      </w:r>
      <w:r w:rsidRPr="005013B8">
        <w:rPr>
          <w:sz w:val="24"/>
          <w:szCs w:val="24"/>
        </w:rPr>
        <w:t xml:space="preserve">New requirements would include items such as: </w:t>
      </w:r>
    </w:p>
    <w:p w:rsidR="00415652" w:rsidRPr="005013B8" w:rsidRDefault="00415652" w:rsidP="00FD7D34">
      <w:pPr>
        <w:pStyle w:val="NoSpacing"/>
        <w:numPr>
          <w:ilvl w:val="0"/>
          <w:numId w:val="13"/>
        </w:numPr>
        <w:rPr>
          <w:sz w:val="24"/>
          <w:szCs w:val="24"/>
        </w:rPr>
      </w:pPr>
      <w:r w:rsidRPr="005013B8">
        <w:rPr>
          <w:sz w:val="24"/>
          <w:szCs w:val="24"/>
        </w:rPr>
        <w:t>release rules</w:t>
      </w:r>
    </w:p>
    <w:p w:rsidR="00415652" w:rsidRPr="005013B8" w:rsidRDefault="00415652" w:rsidP="00FD7D34">
      <w:pPr>
        <w:pStyle w:val="NoSpacing"/>
        <w:numPr>
          <w:ilvl w:val="0"/>
          <w:numId w:val="13"/>
        </w:numPr>
        <w:rPr>
          <w:sz w:val="24"/>
          <w:szCs w:val="24"/>
        </w:rPr>
      </w:pPr>
      <w:r w:rsidRPr="005013B8">
        <w:rPr>
          <w:sz w:val="24"/>
          <w:szCs w:val="24"/>
        </w:rPr>
        <w:t>validation of required elements in the file</w:t>
      </w:r>
    </w:p>
    <w:p w:rsidR="00415652" w:rsidRPr="005013B8" w:rsidRDefault="00415652" w:rsidP="00FD7D34">
      <w:pPr>
        <w:pStyle w:val="NoSpacing"/>
        <w:numPr>
          <w:ilvl w:val="0"/>
          <w:numId w:val="13"/>
        </w:numPr>
        <w:rPr>
          <w:sz w:val="24"/>
          <w:szCs w:val="24"/>
        </w:rPr>
      </w:pPr>
      <w:r w:rsidRPr="005013B8">
        <w:rPr>
          <w:sz w:val="24"/>
          <w:szCs w:val="24"/>
        </w:rPr>
        <w:t>security and network exchange protocols</w:t>
      </w:r>
    </w:p>
    <w:p w:rsidR="00415652" w:rsidRPr="005013B8" w:rsidRDefault="00415652" w:rsidP="00FD7D34">
      <w:pPr>
        <w:pStyle w:val="NoSpacing"/>
        <w:numPr>
          <w:ilvl w:val="0"/>
          <w:numId w:val="13"/>
        </w:numPr>
        <w:rPr>
          <w:sz w:val="24"/>
          <w:szCs w:val="24"/>
        </w:rPr>
      </w:pPr>
      <w:r w:rsidRPr="005013B8">
        <w:rPr>
          <w:sz w:val="24"/>
          <w:szCs w:val="24"/>
        </w:rPr>
        <w:t xml:space="preserve">a digital signature that consistently satisfies </w:t>
      </w:r>
      <w:hyperlink w:anchor="HIPAA" w:history="1">
        <w:r w:rsidRPr="005016DA">
          <w:rPr>
            <w:rStyle w:val="Hyperlink"/>
            <w:sz w:val="24"/>
            <w:szCs w:val="24"/>
          </w:rPr>
          <w:t>HIPAA</w:t>
        </w:r>
      </w:hyperlink>
      <w:r w:rsidRPr="005013B8">
        <w:rPr>
          <w:sz w:val="24"/>
          <w:szCs w:val="24"/>
        </w:rPr>
        <w:t xml:space="preserve"> requirements without relying on every counter-parties’ individual security plan and implementation </w:t>
      </w:r>
    </w:p>
    <w:p w:rsidR="001220D1" w:rsidRDefault="001220D1" w:rsidP="00415652">
      <w:pPr>
        <w:pStyle w:val="NoSpacing"/>
        <w:rPr>
          <w:sz w:val="24"/>
          <w:szCs w:val="24"/>
        </w:rPr>
      </w:pPr>
    </w:p>
    <w:p w:rsidR="00415652" w:rsidRDefault="00415652" w:rsidP="00415652">
      <w:pPr>
        <w:pStyle w:val="NoSpacing"/>
        <w:rPr>
          <w:rFonts w:cs="Segoe UI"/>
          <w:sz w:val="24"/>
          <w:szCs w:val="24"/>
        </w:rPr>
      </w:pPr>
      <w:r w:rsidRPr="005013B8">
        <w:rPr>
          <w:rFonts w:cs="Segoe UI"/>
          <w:sz w:val="24"/>
          <w:szCs w:val="24"/>
        </w:rPr>
        <w:t xml:space="preserve">As claims become more </w:t>
      </w:r>
      <w:r w:rsidR="00F2130B">
        <w:rPr>
          <w:rFonts w:cs="Segoe UI"/>
          <w:sz w:val="24"/>
          <w:szCs w:val="24"/>
        </w:rPr>
        <w:t>detailed</w:t>
      </w:r>
      <w:r>
        <w:rPr>
          <w:rFonts w:cs="Segoe UI"/>
          <w:sz w:val="24"/>
          <w:szCs w:val="24"/>
        </w:rPr>
        <w:t xml:space="preserve"> and as technology converges</w:t>
      </w:r>
      <w:r w:rsidRPr="005013B8">
        <w:rPr>
          <w:rFonts w:cs="Segoe UI"/>
          <w:sz w:val="24"/>
          <w:szCs w:val="24"/>
        </w:rPr>
        <w:t xml:space="preserve"> to optimize payment and remittance management among payers, providers</w:t>
      </w:r>
      <w:r>
        <w:rPr>
          <w:rFonts w:cs="Segoe UI"/>
          <w:sz w:val="24"/>
          <w:szCs w:val="24"/>
        </w:rPr>
        <w:t>,</w:t>
      </w:r>
      <w:r w:rsidRPr="005013B8">
        <w:rPr>
          <w:rFonts w:cs="Segoe UI"/>
          <w:sz w:val="24"/>
          <w:szCs w:val="24"/>
        </w:rPr>
        <w:t xml:space="preserve"> and banking organizations, there will be increasing pressure for a</w:t>
      </w:r>
      <w:r w:rsidR="008F4C33">
        <w:rPr>
          <w:rFonts w:cs="Segoe UI"/>
          <w:sz w:val="24"/>
          <w:szCs w:val="24"/>
        </w:rPr>
        <w:t>n</w:t>
      </w:r>
      <w:r w:rsidRPr="005013B8">
        <w:rPr>
          <w:rFonts w:cs="Segoe UI"/>
          <w:sz w:val="24"/>
          <w:szCs w:val="24"/>
        </w:rPr>
        <w:t xml:space="preserve"> </w:t>
      </w:r>
      <w:hyperlink w:anchor="STP" w:history="1">
        <w:r w:rsidRPr="00425E01">
          <w:rPr>
            <w:rStyle w:val="Hyperlink"/>
            <w:rFonts w:cs="Segoe UI"/>
            <w:sz w:val="24"/>
            <w:szCs w:val="24"/>
          </w:rPr>
          <w:t>STP</w:t>
        </w:r>
      </w:hyperlink>
      <w:r w:rsidRPr="005013B8">
        <w:rPr>
          <w:rFonts w:cs="Segoe UI"/>
          <w:sz w:val="24"/>
          <w:szCs w:val="24"/>
        </w:rPr>
        <w:t xml:space="preserve"> solution. The solution will need to be highly secure, as more records</w:t>
      </w:r>
      <w:r w:rsidR="00B22958">
        <w:rPr>
          <w:rFonts w:cs="Segoe UI"/>
          <w:sz w:val="24"/>
          <w:szCs w:val="24"/>
        </w:rPr>
        <w:t>,</w:t>
      </w:r>
      <w:r w:rsidRPr="005013B8">
        <w:rPr>
          <w:rFonts w:cs="Segoe UI"/>
          <w:sz w:val="24"/>
          <w:szCs w:val="24"/>
        </w:rPr>
        <w:t xml:space="preserve"> an</w:t>
      </w:r>
      <w:r>
        <w:rPr>
          <w:rFonts w:cs="Segoe UI"/>
          <w:sz w:val="24"/>
          <w:szCs w:val="24"/>
        </w:rPr>
        <w:t xml:space="preserve">d thus more </w:t>
      </w:r>
      <w:r w:rsidR="0029408B">
        <w:rPr>
          <w:rFonts w:cs="Segoe UI"/>
          <w:sz w:val="24"/>
          <w:szCs w:val="24"/>
        </w:rPr>
        <w:t>data, is</w:t>
      </w:r>
      <w:r>
        <w:rPr>
          <w:rFonts w:cs="Segoe UI"/>
          <w:sz w:val="24"/>
          <w:szCs w:val="24"/>
        </w:rPr>
        <w:t xml:space="preserve"> communicated</w:t>
      </w:r>
      <w:r w:rsidRPr="005013B8">
        <w:rPr>
          <w:rFonts w:cs="Segoe UI"/>
          <w:sz w:val="24"/>
          <w:szCs w:val="24"/>
        </w:rPr>
        <w:t>.</w:t>
      </w:r>
    </w:p>
    <w:p w:rsidR="008F4C33" w:rsidRDefault="00B22958" w:rsidP="008F4C33">
      <w:pPr>
        <w:pStyle w:val="Heading2"/>
      </w:pPr>
      <w:bookmarkStart w:id="18" w:name="_Toc345348387"/>
      <w:r>
        <w:t xml:space="preserve">Emerging Role of </w:t>
      </w:r>
      <w:r w:rsidR="008F4C33">
        <w:t>NCVHS</w:t>
      </w:r>
      <w:r>
        <w:t xml:space="preserve"> in Healthcare Payments</w:t>
      </w:r>
      <w:bookmarkEnd w:id="18"/>
    </w:p>
    <w:p w:rsidR="00B22958" w:rsidRDefault="00415652" w:rsidP="00415652">
      <w:pPr>
        <w:pStyle w:val="NoSpacing"/>
        <w:rPr>
          <w:sz w:val="24"/>
          <w:szCs w:val="24"/>
        </w:rPr>
      </w:pPr>
      <w:r>
        <w:rPr>
          <w:sz w:val="24"/>
          <w:szCs w:val="24"/>
        </w:rPr>
        <w:t>A</w:t>
      </w:r>
      <w:r w:rsidRPr="003D1307">
        <w:rPr>
          <w:sz w:val="24"/>
          <w:szCs w:val="24"/>
        </w:rPr>
        <w:t xml:space="preserve"> recommendation by the </w:t>
      </w:r>
      <w:hyperlink w:anchor="NCVHS" w:history="1">
        <w:r w:rsidRPr="006942A0">
          <w:rPr>
            <w:rStyle w:val="Hyperlink"/>
            <w:sz w:val="24"/>
            <w:szCs w:val="24"/>
          </w:rPr>
          <w:t>NCVHS</w:t>
        </w:r>
      </w:hyperlink>
      <w:r w:rsidRPr="003D1307">
        <w:rPr>
          <w:sz w:val="24"/>
          <w:szCs w:val="24"/>
        </w:rPr>
        <w:t xml:space="preserve"> (The National Committee on Vital </w:t>
      </w:r>
      <w:r w:rsidR="00F2130B">
        <w:rPr>
          <w:sz w:val="24"/>
          <w:szCs w:val="24"/>
        </w:rPr>
        <w:t xml:space="preserve">and </w:t>
      </w:r>
      <w:r w:rsidRPr="003D1307">
        <w:rPr>
          <w:sz w:val="24"/>
          <w:szCs w:val="24"/>
        </w:rPr>
        <w:t xml:space="preserve">Health Statistics), acting as a statutory advisor to </w:t>
      </w:r>
      <w:r>
        <w:rPr>
          <w:sz w:val="24"/>
          <w:szCs w:val="24"/>
        </w:rPr>
        <w:t xml:space="preserve">the </w:t>
      </w:r>
      <w:r w:rsidRPr="003D1307">
        <w:rPr>
          <w:sz w:val="24"/>
          <w:szCs w:val="24"/>
        </w:rPr>
        <w:t>Department of Health an</w:t>
      </w:r>
      <w:r w:rsidR="008F4C33">
        <w:rPr>
          <w:sz w:val="24"/>
          <w:szCs w:val="24"/>
        </w:rPr>
        <w:t>d Human Services (</w:t>
      </w:r>
      <w:hyperlink w:anchor="HHS" w:history="1">
        <w:r w:rsidR="008F4C33" w:rsidRPr="00225529">
          <w:rPr>
            <w:rStyle w:val="Hyperlink"/>
            <w:sz w:val="24"/>
            <w:szCs w:val="24"/>
          </w:rPr>
          <w:t>HHS</w:t>
        </w:r>
      </w:hyperlink>
      <w:r w:rsidR="008F4C33">
        <w:rPr>
          <w:sz w:val="24"/>
          <w:szCs w:val="24"/>
        </w:rPr>
        <w:t>), suggested</w:t>
      </w:r>
      <w:r w:rsidRPr="003D1307">
        <w:rPr>
          <w:sz w:val="24"/>
          <w:szCs w:val="24"/>
        </w:rPr>
        <w:t xml:space="preserve"> that </w:t>
      </w:r>
      <w:r w:rsidR="00A21310" w:rsidRPr="008F4C33">
        <w:rPr>
          <w:sz w:val="24"/>
          <w:szCs w:val="24"/>
        </w:rPr>
        <w:t xml:space="preserve">the </w:t>
      </w:r>
      <w:hyperlink w:anchor="EFT" w:history="1">
        <w:r w:rsidR="008F4C33" w:rsidRPr="006B6165">
          <w:rPr>
            <w:rStyle w:val="Hyperlink"/>
            <w:sz w:val="24"/>
            <w:szCs w:val="24"/>
          </w:rPr>
          <w:t>EFT</w:t>
        </w:r>
      </w:hyperlink>
      <w:r w:rsidR="008F4C33">
        <w:rPr>
          <w:sz w:val="24"/>
          <w:szCs w:val="24"/>
        </w:rPr>
        <w:t xml:space="preserve"> and the </w:t>
      </w:r>
      <w:hyperlink w:anchor="ERA" w:history="1">
        <w:r w:rsidR="008F4C33" w:rsidRPr="00F37718">
          <w:rPr>
            <w:rStyle w:val="Hyperlink"/>
            <w:sz w:val="24"/>
            <w:szCs w:val="24"/>
          </w:rPr>
          <w:t>ERA</w:t>
        </w:r>
      </w:hyperlink>
      <w:r w:rsidR="008F4C33">
        <w:rPr>
          <w:sz w:val="24"/>
          <w:szCs w:val="24"/>
        </w:rPr>
        <w:t xml:space="preserve"> do</w:t>
      </w:r>
      <w:r w:rsidR="00A21310" w:rsidRPr="008F4C33">
        <w:rPr>
          <w:sz w:val="24"/>
          <w:szCs w:val="24"/>
        </w:rPr>
        <w:t xml:space="preserve"> not need to be submitted together; in fact, </w:t>
      </w:r>
      <w:hyperlink w:anchor="NCVHS" w:history="1">
        <w:r w:rsidR="00A21310" w:rsidRPr="006942A0">
          <w:rPr>
            <w:rStyle w:val="Hyperlink"/>
            <w:sz w:val="24"/>
            <w:szCs w:val="24"/>
          </w:rPr>
          <w:t>NCVHS</w:t>
        </w:r>
      </w:hyperlink>
      <w:r w:rsidR="00A21310" w:rsidRPr="008F4C33">
        <w:rPr>
          <w:sz w:val="24"/>
          <w:szCs w:val="24"/>
        </w:rPr>
        <w:t xml:space="preserve"> determined that the payment and remittance information should be submitted separately using the </w:t>
      </w:r>
      <w:hyperlink w:anchor="CCD" w:history="1">
        <w:r w:rsidR="00A21310" w:rsidRPr="00B7289A">
          <w:rPr>
            <w:rStyle w:val="Hyperlink"/>
            <w:sz w:val="24"/>
            <w:szCs w:val="24"/>
          </w:rPr>
          <w:t>CCD+</w:t>
        </w:r>
      </w:hyperlink>
      <w:r w:rsidR="00A21310" w:rsidRPr="008F4C33">
        <w:rPr>
          <w:sz w:val="24"/>
          <w:szCs w:val="24"/>
        </w:rPr>
        <w:t xml:space="preserve"> </w:t>
      </w:r>
      <w:hyperlink w:anchor="NACHAACH" w:history="1">
        <w:r w:rsidR="00A21310" w:rsidRPr="002A75A9">
          <w:rPr>
            <w:rStyle w:val="Hyperlink"/>
            <w:sz w:val="24"/>
            <w:szCs w:val="24"/>
          </w:rPr>
          <w:t>NACHA</w:t>
        </w:r>
      </w:hyperlink>
      <w:r w:rsidR="00A21310" w:rsidRPr="008F4C33">
        <w:rPr>
          <w:sz w:val="24"/>
          <w:szCs w:val="24"/>
        </w:rPr>
        <w:t xml:space="preserve"> payment transaction.</w:t>
      </w:r>
    </w:p>
    <w:p w:rsidR="00B22958" w:rsidRDefault="00B22958" w:rsidP="00415652">
      <w:pPr>
        <w:pStyle w:val="NoSpacing"/>
        <w:rPr>
          <w:sz w:val="24"/>
          <w:szCs w:val="24"/>
        </w:rPr>
      </w:pPr>
    </w:p>
    <w:p w:rsidR="001C0BA0" w:rsidRDefault="00415652" w:rsidP="00415652">
      <w:pPr>
        <w:pStyle w:val="NoSpacing"/>
        <w:rPr>
          <w:sz w:val="24"/>
          <w:szCs w:val="24"/>
        </w:rPr>
      </w:pPr>
      <w:r w:rsidRPr="003D1307">
        <w:rPr>
          <w:sz w:val="24"/>
          <w:szCs w:val="24"/>
        </w:rPr>
        <w:t xml:space="preserve">CCD stands for Corporate Cash Disbursement, and the “+” represents a part of the transaction that can house a trace number that links </w:t>
      </w:r>
      <w:r w:rsidR="008F4C33">
        <w:rPr>
          <w:sz w:val="24"/>
          <w:szCs w:val="24"/>
        </w:rPr>
        <w:t xml:space="preserve">the </w:t>
      </w:r>
      <w:hyperlink w:anchor="EFT" w:history="1">
        <w:r w:rsidR="008F4C33" w:rsidRPr="006B6165">
          <w:rPr>
            <w:rStyle w:val="Hyperlink"/>
            <w:sz w:val="24"/>
            <w:szCs w:val="24"/>
          </w:rPr>
          <w:t>EFT</w:t>
        </w:r>
      </w:hyperlink>
      <w:r w:rsidR="008F4C33">
        <w:rPr>
          <w:sz w:val="24"/>
          <w:szCs w:val="24"/>
        </w:rPr>
        <w:t xml:space="preserve"> and </w:t>
      </w:r>
      <w:hyperlink w:anchor="ERA" w:history="1">
        <w:r w:rsidR="008F4C33" w:rsidRPr="00F37718">
          <w:rPr>
            <w:rStyle w:val="Hyperlink"/>
            <w:sz w:val="24"/>
            <w:szCs w:val="24"/>
          </w:rPr>
          <w:t>ERA</w:t>
        </w:r>
      </w:hyperlink>
      <w:r w:rsidR="008F4C33">
        <w:rPr>
          <w:sz w:val="24"/>
          <w:szCs w:val="24"/>
        </w:rPr>
        <w:t xml:space="preserve"> back together. This process is called</w:t>
      </w:r>
      <w:r w:rsidRPr="003D1307">
        <w:rPr>
          <w:sz w:val="24"/>
          <w:szCs w:val="24"/>
        </w:rPr>
        <w:t xml:space="preserve"> “re-association”</w:t>
      </w:r>
      <w:r w:rsidR="008F4C33">
        <w:rPr>
          <w:sz w:val="24"/>
          <w:szCs w:val="24"/>
        </w:rPr>
        <w:t xml:space="preserve"> and is </w:t>
      </w:r>
      <w:r w:rsidR="00C720EC">
        <w:rPr>
          <w:sz w:val="24"/>
          <w:szCs w:val="24"/>
        </w:rPr>
        <w:t>performed</w:t>
      </w:r>
      <w:r w:rsidR="008F4C33">
        <w:rPr>
          <w:sz w:val="24"/>
          <w:szCs w:val="24"/>
        </w:rPr>
        <w:t xml:space="preserve"> by the recipient of funds, the </w:t>
      </w:r>
      <w:r w:rsidRPr="003D1307">
        <w:rPr>
          <w:sz w:val="24"/>
          <w:szCs w:val="24"/>
        </w:rPr>
        <w:t>recipient’s bank</w:t>
      </w:r>
      <w:r w:rsidR="008F4C33">
        <w:rPr>
          <w:sz w:val="24"/>
          <w:szCs w:val="24"/>
        </w:rPr>
        <w:t>,</w:t>
      </w:r>
      <w:r w:rsidRPr="003D1307">
        <w:rPr>
          <w:sz w:val="24"/>
          <w:szCs w:val="24"/>
        </w:rPr>
        <w:t xml:space="preserve"> or </w:t>
      </w:r>
      <w:r w:rsidR="008F4C33">
        <w:rPr>
          <w:sz w:val="24"/>
          <w:szCs w:val="24"/>
        </w:rPr>
        <w:t>the HIT service provider. In this process, the funds (</w:t>
      </w:r>
      <w:hyperlink w:anchor="EFT" w:history="1">
        <w:r w:rsidR="008F4C33" w:rsidRPr="006B6165">
          <w:rPr>
            <w:rStyle w:val="Hyperlink"/>
            <w:sz w:val="24"/>
            <w:szCs w:val="24"/>
          </w:rPr>
          <w:t>EFT</w:t>
        </w:r>
      </w:hyperlink>
      <w:r w:rsidR="008F4C33">
        <w:rPr>
          <w:sz w:val="24"/>
          <w:szCs w:val="24"/>
        </w:rPr>
        <w:t xml:space="preserve">) may </w:t>
      </w:r>
      <w:r w:rsidRPr="003D1307">
        <w:rPr>
          <w:sz w:val="24"/>
          <w:szCs w:val="24"/>
        </w:rPr>
        <w:t>travel separately from the data (</w:t>
      </w:r>
      <w:hyperlink w:anchor="ERA" w:history="1">
        <w:r w:rsidRPr="00F37718">
          <w:rPr>
            <w:rStyle w:val="Hyperlink"/>
            <w:sz w:val="24"/>
            <w:szCs w:val="24"/>
          </w:rPr>
          <w:t>ERA</w:t>
        </w:r>
      </w:hyperlink>
      <w:r w:rsidRPr="003D1307">
        <w:rPr>
          <w:sz w:val="24"/>
          <w:szCs w:val="24"/>
        </w:rPr>
        <w:t xml:space="preserve">) but </w:t>
      </w:r>
      <w:r w:rsidR="008F4C33">
        <w:rPr>
          <w:sz w:val="24"/>
          <w:szCs w:val="24"/>
        </w:rPr>
        <w:t xml:space="preserve">are </w:t>
      </w:r>
      <w:r w:rsidRPr="003D1307">
        <w:rPr>
          <w:sz w:val="24"/>
          <w:szCs w:val="24"/>
        </w:rPr>
        <w:t xml:space="preserve">then </w:t>
      </w:r>
      <w:r w:rsidR="008F4C33">
        <w:rPr>
          <w:sz w:val="24"/>
          <w:szCs w:val="24"/>
        </w:rPr>
        <w:t>r</w:t>
      </w:r>
      <w:r w:rsidRPr="003D1307">
        <w:rPr>
          <w:sz w:val="24"/>
          <w:szCs w:val="24"/>
        </w:rPr>
        <w:t xml:space="preserve">e-associated at </w:t>
      </w:r>
      <w:r w:rsidR="008F4C33">
        <w:rPr>
          <w:sz w:val="24"/>
          <w:szCs w:val="24"/>
        </w:rPr>
        <w:t xml:space="preserve">the </w:t>
      </w:r>
      <w:r w:rsidR="0029408B">
        <w:rPr>
          <w:sz w:val="24"/>
          <w:szCs w:val="24"/>
        </w:rPr>
        <w:t>destination</w:t>
      </w:r>
      <w:r w:rsidR="0029408B" w:rsidRPr="003D1307">
        <w:rPr>
          <w:sz w:val="24"/>
          <w:szCs w:val="24"/>
        </w:rPr>
        <w:t>.</w:t>
      </w:r>
      <w:r w:rsidR="0029408B" w:rsidRPr="005B5A7B">
        <w:rPr>
          <w:sz w:val="24"/>
          <w:szCs w:val="24"/>
        </w:rPr>
        <w:t xml:space="preserve"> While</w:t>
      </w:r>
      <w:r w:rsidR="001C0BA0" w:rsidRPr="005B5A7B">
        <w:rPr>
          <w:sz w:val="24"/>
          <w:szCs w:val="24"/>
        </w:rPr>
        <w:t xml:space="preserve"> appearing to simplify the reconciliation process, it is not clear if this practice facilitates </w:t>
      </w:r>
      <w:hyperlink w:anchor="STP" w:history="1">
        <w:r w:rsidR="001C0BA0" w:rsidRPr="00425E01">
          <w:rPr>
            <w:rStyle w:val="Hyperlink"/>
            <w:sz w:val="24"/>
            <w:szCs w:val="24"/>
          </w:rPr>
          <w:t>STP</w:t>
        </w:r>
      </w:hyperlink>
      <w:r w:rsidR="001C0BA0" w:rsidRPr="005B5A7B">
        <w:rPr>
          <w:sz w:val="24"/>
          <w:szCs w:val="24"/>
        </w:rPr>
        <w:t>, which assumes that all of the remittance data is submitted with a payment.</w:t>
      </w:r>
    </w:p>
    <w:p w:rsidR="001C0BA0" w:rsidRDefault="001C0BA0" w:rsidP="00415652">
      <w:pPr>
        <w:pStyle w:val="NoSpacing"/>
        <w:rPr>
          <w:b/>
          <w:sz w:val="24"/>
          <w:szCs w:val="24"/>
        </w:rPr>
      </w:pPr>
    </w:p>
    <w:p w:rsidR="00415652" w:rsidRPr="005B5A7B" w:rsidRDefault="001C0BA0" w:rsidP="001C0BA0">
      <w:pPr>
        <w:pStyle w:val="NoSpacing"/>
        <w:rPr>
          <w:sz w:val="24"/>
          <w:szCs w:val="24"/>
        </w:rPr>
      </w:pPr>
      <w:r>
        <w:rPr>
          <w:sz w:val="24"/>
          <w:szCs w:val="24"/>
        </w:rPr>
        <w:t xml:space="preserve">One option that has been considered is to envelope both the </w:t>
      </w:r>
      <w:hyperlink w:anchor="EFT" w:history="1">
        <w:r w:rsidRPr="006B6165">
          <w:rPr>
            <w:rStyle w:val="Hyperlink"/>
            <w:sz w:val="24"/>
            <w:szCs w:val="24"/>
          </w:rPr>
          <w:t>EFT</w:t>
        </w:r>
      </w:hyperlink>
      <w:r>
        <w:rPr>
          <w:sz w:val="24"/>
          <w:szCs w:val="24"/>
        </w:rPr>
        <w:t xml:space="preserve"> and the </w:t>
      </w:r>
      <w:hyperlink w:anchor="ERA" w:history="1">
        <w:r w:rsidRPr="00F37718">
          <w:rPr>
            <w:rStyle w:val="Hyperlink"/>
            <w:sz w:val="24"/>
            <w:szCs w:val="24"/>
          </w:rPr>
          <w:t>ERA</w:t>
        </w:r>
      </w:hyperlink>
      <w:r>
        <w:rPr>
          <w:sz w:val="24"/>
          <w:szCs w:val="24"/>
        </w:rPr>
        <w:t xml:space="preserve"> within a </w:t>
      </w:r>
      <w:hyperlink w:anchor="CTX" w:history="1">
        <w:r w:rsidRPr="00B7289A">
          <w:rPr>
            <w:rStyle w:val="Hyperlink"/>
            <w:sz w:val="24"/>
            <w:szCs w:val="24"/>
          </w:rPr>
          <w:t>CTX</w:t>
        </w:r>
      </w:hyperlink>
      <w:r>
        <w:rPr>
          <w:sz w:val="24"/>
          <w:szCs w:val="24"/>
        </w:rPr>
        <w:t xml:space="preserve"> </w:t>
      </w:r>
      <w:r w:rsidR="00FD4012">
        <w:rPr>
          <w:sz w:val="24"/>
          <w:szCs w:val="24"/>
        </w:rPr>
        <w:t xml:space="preserve">(Corporate Trade Exchange) </w:t>
      </w:r>
      <w:r>
        <w:rPr>
          <w:sz w:val="24"/>
          <w:szCs w:val="24"/>
        </w:rPr>
        <w:t xml:space="preserve">transaction (a </w:t>
      </w:r>
      <w:hyperlink w:anchor="NACHAACH" w:history="1">
        <w:r w:rsidRPr="002A75A9">
          <w:rPr>
            <w:rStyle w:val="Hyperlink"/>
            <w:sz w:val="24"/>
            <w:szCs w:val="24"/>
          </w:rPr>
          <w:t>NACHA</w:t>
        </w:r>
      </w:hyperlink>
      <w:r>
        <w:rPr>
          <w:sz w:val="24"/>
          <w:szCs w:val="24"/>
        </w:rPr>
        <w:t xml:space="preserve"> format) and deliver them together through the </w:t>
      </w:r>
      <w:hyperlink w:anchor="ACH" w:history="1">
        <w:r w:rsidRPr="00B7289A">
          <w:rPr>
            <w:rStyle w:val="Hyperlink"/>
            <w:sz w:val="24"/>
            <w:szCs w:val="24"/>
          </w:rPr>
          <w:t>ACH</w:t>
        </w:r>
      </w:hyperlink>
      <w:r>
        <w:rPr>
          <w:sz w:val="24"/>
          <w:szCs w:val="24"/>
        </w:rPr>
        <w:t xml:space="preserve"> network. However, h</w:t>
      </w:r>
      <w:r w:rsidR="00415652" w:rsidRPr="005B5A7B">
        <w:rPr>
          <w:sz w:val="24"/>
          <w:szCs w:val="24"/>
        </w:rPr>
        <w:t xml:space="preserve">ealthcare plans and healthcare providers have indicated concern around </w:t>
      </w:r>
      <w:r>
        <w:rPr>
          <w:sz w:val="24"/>
          <w:szCs w:val="24"/>
        </w:rPr>
        <w:t xml:space="preserve">doing this </w:t>
      </w:r>
      <w:r w:rsidR="008F4C33">
        <w:rPr>
          <w:sz w:val="24"/>
          <w:szCs w:val="24"/>
        </w:rPr>
        <w:t>due</w:t>
      </w:r>
      <w:r>
        <w:rPr>
          <w:sz w:val="24"/>
          <w:szCs w:val="24"/>
        </w:rPr>
        <w:t xml:space="preserve"> to a lack of trust that </w:t>
      </w:r>
      <w:r w:rsidR="00415652" w:rsidRPr="005B5A7B">
        <w:rPr>
          <w:sz w:val="24"/>
          <w:szCs w:val="24"/>
        </w:rPr>
        <w:t xml:space="preserve">the </w:t>
      </w:r>
      <w:hyperlink w:anchor="ACH" w:history="1">
        <w:r w:rsidR="00415652" w:rsidRPr="00B7289A">
          <w:rPr>
            <w:rStyle w:val="Hyperlink"/>
            <w:sz w:val="24"/>
            <w:szCs w:val="24"/>
          </w:rPr>
          <w:t>ACH</w:t>
        </w:r>
      </w:hyperlink>
      <w:r w:rsidR="00415652" w:rsidRPr="005B5A7B">
        <w:rPr>
          <w:sz w:val="24"/>
          <w:szCs w:val="24"/>
        </w:rPr>
        <w:t xml:space="preserve"> clearinghouse networks </w:t>
      </w:r>
      <w:r>
        <w:rPr>
          <w:sz w:val="24"/>
          <w:szCs w:val="24"/>
        </w:rPr>
        <w:t xml:space="preserve">fully </w:t>
      </w:r>
      <w:r w:rsidR="00415652" w:rsidRPr="005B5A7B">
        <w:rPr>
          <w:sz w:val="24"/>
          <w:szCs w:val="24"/>
        </w:rPr>
        <w:t xml:space="preserve">comply with </w:t>
      </w:r>
      <w:hyperlink w:anchor="HIPAA" w:history="1">
        <w:r w:rsidR="00415652" w:rsidRPr="005016DA">
          <w:rPr>
            <w:rStyle w:val="Hyperlink"/>
            <w:sz w:val="24"/>
            <w:szCs w:val="24"/>
          </w:rPr>
          <w:t>HIPAA</w:t>
        </w:r>
      </w:hyperlink>
      <w:r>
        <w:rPr>
          <w:sz w:val="24"/>
          <w:szCs w:val="24"/>
        </w:rPr>
        <w:t>.</w:t>
      </w:r>
      <w:r w:rsidR="00B22958">
        <w:rPr>
          <w:sz w:val="24"/>
          <w:szCs w:val="24"/>
        </w:rPr>
        <w:t xml:space="preserve"> During testimony at </w:t>
      </w:r>
      <w:hyperlink w:anchor="NCVHS" w:history="1">
        <w:r w:rsidR="00B22958" w:rsidRPr="006942A0">
          <w:rPr>
            <w:rStyle w:val="Hyperlink"/>
            <w:sz w:val="24"/>
            <w:szCs w:val="24"/>
          </w:rPr>
          <w:t>NCVHS</w:t>
        </w:r>
      </w:hyperlink>
      <w:r w:rsidR="00B22958">
        <w:rPr>
          <w:sz w:val="24"/>
          <w:szCs w:val="24"/>
        </w:rPr>
        <w:t xml:space="preserve"> hearings on this </w:t>
      </w:r>
      <w:r w:rsidR="0029408B">
        <w:rPr>
          <w:sz w:val="24"/>
          <w:szCs w:val="24"/>
        </w:rPr>
        <w:t>topic, the</w:t>
      </w:r>
      <w:r w:rsidR="00B22958">
        <w:rPr>
          <w:sz w:val="24"/>
          <w:szCs w:val="24"/>
        </w:rPr>
        <w:t xml:space="preserve"> </w:t>
      </w:r>
      <w:r w:rsidR="00B22958">
        <w:rPr>
          <w:sz w:val="24"/>
          <w:szCs w:val="24"/>
        </w:rPr>
        <w:lastRenderedPageBreak/>
        <w:t xml:space="preserve">Veterans Healthcare Administration, responsible for a </w:t>
      </w:r>
      <w:r w:rsidR="00415652" w:rsidRPr="005B5A7B">
        <w:rPr>
          <w:sz w:val="24"/>
          <w:szCs w:val="24"/>
        </w:rPr>
        <w:t>large provider</w:t>
      </w:r>
      <w:r w:rsidR="00B22958">
        <w:rPr>
          <w:sz w:val="24"/>
          <w:szCs w:val="24"/>
        </w:rPr>
        <w:t xml:space="preserve"> network of hospitals, clinics and other healthcare facilities,</w:t>
      </w:r>
      <w:r w:rsidR="000E50F7">
        <w:rPr>
          <w:sz w:val="24"/>
          <w:szCs w:val="24"/>
        </w:rPr>
        <w:t xml:space="preserve"> </w:t>
      </w:r>
      <w:r w:rsidR="00415652" w:rsidRPr="005B5A7B">
        <w:rPr>
          <w:sz w:val="24"/>
          <w:szCs w:val="24"/>
        </w:rPr>
        <w:t xml:space="preserve">made discrete recommendations to ban the </w:t>
      </w:r>
      <w:hyperlink w:anchor="CTX" w:history="1">
        <w:r w:rsidR="00415652" w:rsidRPr="006B6165">
          <w:rPr>
            <w:rStyle w:val="Hyperlink"/>
            <w:sz w:val="24"/>
            <w:szCs w:val="24"/>
          </w:rPr>
          <w:t>CTX</w:t>
        </w:r>
      </w:hyperlink>
      <w:r w:rsidR="00415652" w:rsidRPr="005B5A7B">
        <w:rPr>
          <w:sz w:val="24"/>
          <w:szCs w:val="24"/>
        </w:rPr>
        <w:t xml:space="preserve"> and to require </w:t>
      </w:r>
      <w:r w:rsidR="00B22958">
        <w:rPr>
          <w:sz w:val="24"/>
          <w:szCs w:val="24"/>
        </w:rPr>
        <w:t xml:space="preserve">stakeholder-wide </w:t>
      </w:r>
      <w:r w:rsidR="00415652" w:rsidRPr="005B5A7B">
        <w:rPr>
          <w:sz w:val="24"/>
          <w:szCs w:val="24"/>
        </w:rPr>
        <w:t xml:space="preserve">use of the </w:t>
      </w:r>
      <w:hyperlink w:anchor="CCD" w:history="1">
        <w:r w:rsidR="00415652" w:rsidRPr="00B7289A">
          <w:rPr>
            <w:rStyle w:val="Hyperlink"/>
            <w:sz w:val="24"/>
            <w:szCs w:val="24"/>
          </w:rPr>
          <w:t>CCD+</w:t>
        </w:r>
      </w:hyperlink>
      <w:r>
        <w:rPr>
          <w:sz w:val="24"/>
          <w:szCs w:val="24"/>
        </w:rPr>
        <w:t>.</w:t>
      </w:r>
    </w:p>
    <w:p w:rsidR="00812A57" w:rsidRPr="00034363" w:rsidRDefault="0032160B" w:rsidP="0032160B">
      <w:pPr>
        <w:pStyle w:val="Heading2"/>
      </w:pPr>
      <w:bookmarkStart w:id="19" w:name="_Toc345348388"/>
      <w:r>
        <w:t>Operating Rules</w:t>
      </w:r>
      <w:bookmarkEnd w:id="19"/>
    </w:p>
    <w:p w:rsidR="00994077" w:rsidRDefault="00994077" w:rsidP="00812A57">
      <w:pPr>
        <w:pStyle w:val="NoSpacing"/>
        <w:rPr>
          <w:rFonts w:cs="Segoe UI"/>
          <w:sz w:val="24"/>
          <w:szCs w:val="24"/>
        </w:rPr>
      </w:pPr>
      <w:r>
        <w:rPr>
          <w:rFonts w:cs="Segoe UI"/>
          <w:sz w:val="24"/>
          <w:szCs w:val="24"/>
        </w:rPr>
        <w:t xml:space="preserve">In July 2012, </w:t>
      </w:r>
      <w:hyperlink w:anchor="HHS" w:history="1">
        <w:r w:rsidRPr="00225529">
          <w:rPr>
            <w:rStyle w:val="Hyperlink"/>
            <w:rFonts w:cs="Segoe UI"/>
            <w:sz w:val="24"/>
            <w:szCs w:val="24"/>
          </w:rPr>
          <w:t>HHS</w:t>
        </w:r>
      </w:hyperlink>
      <w:r>
        <w:rPr>
          <w:rFonts w:cs="Segoe UI"/>
          <w:sz w:val="24"/>
          <w:szCs w:val="24"/>
        </w:rPr>
        <w:t xml:space="preserve"> published Operating Rules that include re</w:t>
      </w:r>
      <w:r w:rsidR="00836C40">
        <w:rPr>
          <w:rFonts w:cs="Segoe UI"/>
          <w:sz w:val="24"/>
          <w:szCs w:val="24"/>
        </w:rPr>
        <w:t>-</w:t>
      </w:r>
      <w:r>
        <w:rPr>
          <w:rFonts w:cs="Segoe UI"/>
          <w:sz w:val="24"/>
          <w:szCs w:val="24"/>
        </w:rPr>
        <w:t xml:space="preserve">association, timing, and delivery requirements for healthcare payments. These rules require that by January 1 of 2014 all health plans must support </w:t>
      </w:r>
      <w:hyperlink w:anchor="EFT" w:history="1">
        <w:r w:rsidRPr="006B6165">
          <w:rPr>
            <w:rStyle w:val="Hyperlink"/>
            <w:rFonts w:cs="Segoe UI"/>
            <w:sz w:val="24"/>
            <w:szCs w:val="24"/>
          </w:rPr>
          <w:t>EFT</w:t>
        </w:r>
      </w:hyperlink>
      <w:r>
        <w:rPr>
          <w:rFonts w:cs="Segoe UI"/>
          <w:sz w:val="24"/>
          <w:szCs w:val="24"/>
        </w:rPr>
        <w:t xml:space="preserve">, with </w:t>
      </w:r>
      <w:r w:rsidR="00836C40">
        <w:rPr>
          <w:rFonts w:cs="Segoe UI"/>
          <w:sz w:val="24"/>
          <w:szCs w:val="24"/>
        </w:rPr>
        <w:t>various requirements including</w:t>
      </w:r>
      <w:r>
        <w:rPr>
          <w:rFonts w:cs="Segoe UI"/>
          <w:sz w:val="24"/>
          <w:szCs w:val="24"/>
        </w:rPr>
        <w:t>:</w:t>
      </w:r>
    </w:p>
    <w:p w:rsidR="00994077" w:rsidRDefault="00994077" w:rsidP="00FD7D34">
      <w:pPr>
        <w:pStyle w:val="NoSpacing"/>
        <w:numPr>
          <w:ilvl w:val="0"/>
          <w:numId w:val="20"/>
        </w:numPr>
        <w:rPr>
          <w:rFonts w:cs="Segoe UI"/>
          <w:sz w:val="24"/>
          <w:szCs w:val="24"/>
        </w:rPr>
      </w:pPr>
      <w:r>
        <w:rPr>
          <w:rFonts w:cs="Segoe UI"/>
          <w:sz w:val="24"/>
          <w:szCs w:val="24"/>
        </w:rPr>
        <w:t xml:space="preserve">Requires </w:t>
      </w:r>
      <w:hyperlink w:anchor="EFT" w:history="1">
        <w:r w:rsidRPr="006B6165">
          <w:rPr>
            <w:rStyle w:val="Hyperlink"/>
            <w:rFonts w:cs="Segoe UI"/>
            <w:sz w:val="24"/>
            <w:szCs w:val="24"/>
          </w:rPr>
          <w:t>EFT</w:t>
        </w:r>
      </w:hyperlink>
      <w:r>
        <w:rPr>
          <w:rFonts w:cs="Segoe UI"/>
          <w:sz w:val="24"/>
          <w:szCs w:val="24"/>
        </w:rPr>
        <w:t xml:space="preserve">s to be delivered in </w:t>
      </w:r>
      <w:hyperlink w:anchor="CCD" w:history="1">
        <w:r w:rsidRPr="00B7289A">
          <w:rPr>
            <w:rStyle w:val="Hyperlink"/>
            <w:rFonts w:cs="Segoe UI"/>
            <w:sz w:val="24"/>
            <w:szCs w:val="24"/>
          </w:rPr>
          <w:t>CCD+</w:t>
        </w:r>
      </w:hyperlink>
      <w:r>
        <w:rPr>
          <w:rFonts w:cs="Segoe UI"/>
          <w:sz w:val="24"/>
          <w:szCs w:val="24"/>
        </w:rPr>
        <w:t xml:space="preserve"> format, which means they must include linkage to their corresponding Electronic Remittance Advice (835)</w:t>
      </w:r>
    </w:p>
    <w:p w:rsidR="00B22958" w:rsidRDefault="006A4554" w:rsidP="00FD7D34">
      <w:pPr>
        <w:pStyle w:val="NoSpacing"/>
        <w:numPr>
          <w:ilvl w:val="0"/>
          <w:numId w:val="20"/>
        </w:numPr>
        <w:rPr>
          <w:rFonts w:cs="Segoe UI"/>
          <w:sz w:val="24"/>
          <w:szCs w:val="24"/>
        </w:rPr>
      </w:pPr>
      <w:r>
        <w:rPr>
          <w:rFonts w:cs="Segoe UI"/>
          <w:sz w:val="24"/>
          <w:szCs w:val="24"/>
        </w:rPr>
        <w:t xml:space="preserve">Requires that 835s are sent by the health plan no longer than three days before or after issuing the </w:t>
      </w:r>
      <w:hyperlink w:anchor="EFT" w:history="1">
        <w:r w:rsidRPr="006B6165">
          <w:rPr>
            <w:rStyle w:val="Hyperlink"/>
            <w:rFonts w:cs="Segoe UI"/>
            <w:sz w:val="24"/>
            <w:szCs w:val="24"/>
          </w:rPr>
          <w:t>EFT</w:t>
        </w:r>
      </w:hyperlink>
      <w:r>
        <w:rPr>
          <w:rFonts w:cs="Segoe UI"/>
          <w:sz w:val="24"/>
          <w:szCs w:val="24"/>
        </w:rPr>
        <w:t>.</w:t>
      </w:r>
    </w:p>
    <w:p w:rsidR="00812A57" w:rsidRDefault="00B22958" w:rsidP="00812A57">
      <w:pPr>
        <w:pStyle w:val="NoSpacing"/>
        <w:rPr>
          <w:rFonts w:cs="Segoe UI"/>
          <w:sz w:val="16"/>
          <w:szCs w:val="16"/>
        </w:rPr>
      </w:pPr>
      <w:r w:rsidRPr="00B22958">
        <w:rPr>
          <w:rFonts w:cs="Segoe UI"/>
          <w:sz w:val="24"/>
          <w:szCs w:val="24"/>
        </w:rPr>
        <w:t>With these</w:t>
      </w:r>
      <w:r>
        <w:rPr>
          <w:rFonts w:cs="Segoe UI"/>
          <w:sz w:val="24"/>
          <w:szCs w:val="24"/>
        </w:rPr>
        <w:t xml:space="preserve"> new requirements, the potential use of the </w:t>
      </w:r>
      <w:hyperlink w:anchor="CCD" w:history="1">
        <w:r w:rsidRPr="00B7289A">
          <w:rPr>
            <w:rStyle w:val="Hyperlink"/>
            <w:rFonts w:cs="Segoe UI"/>
            <w:sz w:val="24"/>
            <w:szCs w:val="24"/>
          </w:rPr>
          <w:t>CCD+</w:t>
        </w:r>
      </w:hyperlink>
      <w:r>
        <w:rPr>
          <w:rFonts w:cs="Segoe UI"/>
          <w:sz w:val="24"/>
          <w:szCs w:val="24"/>
        </w:rPr>
        <w:t xml:space="preserve"> will increase</w:t>
      </w:r>
      <w:r w:rsidR="007866D9">
        <w:rPr>
          <w:rFonts w:cs="Segoe UI"/>
          <w:sz w:val="24"/>
          <w:szCs w:val="24"/>
        </w:rPr>
        <w:t>;</w:t>
      </w:r>
      <w:r>
        <w:rPr>
          <w:rFonts w:cs="Segoe UI"/>
          <w:sz w:val="24"/>
          <w:szCs w:val="24"/>
        </w:rPr>
        <w:t xml:space="preserve"> however</w:t>
      </w:r>
      <w:r w:rsidR="007866D9">
        <w:rPr>
          <w:rFonts w:cs="Segoe UI"/>
          <w:sz w:val="24"/>
          <w:szCs w:val="24"/>
        </w:rPr>
        <w:t>,</w:t>
      </w:r>
      <w:r>
        <w:rPr>
          <w:rFonts w:cs="Segoe UI"/>
          <w:sz w:val="24"/>
          <w:szCs w:val="24"/>
        </w:rPr>
        <w:t xml:space="preserve"> the benefits that come from </w:t>
      </w:r>
      <w:hyperlink w:anchor="STP" w:history="1">
        <w:r w:rsidRPr="00425E01">
          <w:rPr>
            <w:rStyle w:val="Hyperlink"/>
            <w:rFonts w:cs="Segoe UI"/>
            <w:sz w:val="24"/>
            <w:szCs w:val="24"/>
          </w:rPr>
          <w:t>STP</w:t>
        </w:r>
      </w:hyperlink>
      <w:r>
        <w:rPr>
          <w:rFonts w:cs="Segoe UI"/>
          <w:sz w:val="24"/>
          <w:szCs w:val="24"/>
        </w:rPr>
        <w:t xml:space="preserve"> would </w:t>
      </w:r>
      <w:r w:rsidR="00505DD7">
        <w:rPr>
          <w:rFonts w:cs="Segoe UI"/>
          <w:sz w:val="24"/>
          <w:szCs w:val="24"/>
        </w:rPr>
        <w:t xml:space="preserve">largely </w:t>
      </w:r>
      <w:r>
        <w:rPr>
          <w:rFonts w:cs="Segoe UI"/>
          <w:sz w:val="24"/>
          <w:szCs w:val="24"/>
        </w:rPr>
        <w:t>go unrealized.</w:t>
      </w:r>
      <w:r w:rsidR="00505DD7">
        <w:rPr>
          <w:rFonts w:cs="Segoe UI"/>
          <w:sz w:val="24"/>
          <w:szCs w:val="24"/>
        </w:rPr>
        <w:t xml:space="preserve"> While re-association may become the standard industry practice – linking the </w:t>
      </w:r>
      <w:hyperlink w:anchor="EFT" w:history="1">
        <w:r w:rsidR="00505DD7" w:rsidRPr="006B6165">
          <w:rPr>
            <w:rStyle w:val="Hyperlink"/>
            <w:rFonts w:cs="Segoe UI"/>
            <w:sz w:val="24"/>
            <w:szCs w:val="24"/>
          </w:rPr>
          <w:t>EFT</w:t>
        </w:r>
      </w:hyperlink>
      <w:r w:rsidR="00505DD7">
        <w:rPr>
          <w:rFonts w:cs="Segoe UI"/>
          <w:sz w:val="24"/>
          <w:szCs w:val="24"/>
        </w:rPr>
        <w:t xml:space="preserve"> and </w:t>
      </w:r>
      <w:hyperlink w:anchor="ERA" w:history="1">
        <w:r w:rsidR="00505DD7" w:rsidRPr="00F37718">
          <w:rPr>
            <w:rStyle w:val="Hyperlink"/>
            <w:rFonts w:cs="Segoe UI"/>
            <w:sz w:val="24"/>
            <w:szCs w:val="24"/>
          </w:rPr>
          <w:t>ERA</w:t>
        </w:r>
      </w:hyperlink>
      <w:r w:rsidR="00505DD7">
        <w:rPr>
          <w:rFonts w:cs="Segoe UI"/>
          <w:sz w:val="24"/>
          <w:szCs w:val="24"/>
        </w:rPr>
        <w:t xml:space="preserve"> using the </w:t>
      </w:r>
      <w:hyperlink w:anchor="CCD" w:history="1">
        <w:r w:rsidR="00505DD7" w:rsidRPr="00B7289A">
          <w:rPr>
            <w:rStyle w:val="Hyperlink"/>
            <w:rFonts w:cs="Segoe UI"/>
            <w:sz w:val="24"/>
            <w:szCs w:val="24"/>
          </w:rPr>
          <w:t>CCD+</w:t>
        </w:r>
      </w:hyperlink>
      <w:r w:rsidR="00505DD7">
        <w:rPr>
          <w:rFonts w:cs="Segoe UI"/>
          <w:sz w:val="24"/>
          <w:szCs w:val="24"/>
        </w:rPr>
        <w:t xml:space="preserve"> format –</w:t>
      </w:r>
      <w:r w:rsidR="007866D9">
        <w:rPr>
          <w:rFonts w:cs="Segoe UI"/>
          <w:sz w:val="24"/>
          <w:szCs w:val="24"/>
        </w:rPr>
        <w:t xml:space="preserve"> there may </w:t>
      </w:r>
      <w:r w:rsidR="00505DD7">
        <w:rPr>
          <w:rFonts w:cs="Segoe UI"/>
          <w:sz w:val="24"/>
          <w:szCs w:val="24"/>
        </w:rPr>
        <w:t xml:space="preserve">still </w:t>
      </w:r>
      <w:r w:rsidR="007866D9">
        <w:rPr>
          <w:rFonts w:cs="Segoe UI"/>
          <w:sz w:val="24"/>
          <w:szCs w:val="24"/>
        </w:rPr>
        <w:t>be</w:t>
      </w:r>
      <w:r w:rsidR="00505DD7">
        <w:rPr>
          <w:rFonts w:cs="Segoe UI"/>
          <w:sz w:val="24"/>
          <w:szCs w:val="24"/>
        </w:rPr>
        <w:t xml:space="preserve"> an opportunity to realize a more robust healthcare payment experience that provides compelling ROI for the stakeholders using a true </w:t>
      </w:r>
      <w:hyperlink w:anchor="STP" w:history="1">
        <w:r w:rsidR="00505DD7" w:rsidRPr="00425E01">
          <w:rPr>
            <w:rStyle w:val="Hyperlink"/>
            <w:rFonts w:cs="Segoe UI"/>
            <w:sz w:val="24"/>
            <w:szCs w:val="24"/>
          </w:rPr>
          <w:t>STP</w:t>
        </w:r>
      </w:hyperlink>
      <w:r w:rsidR="00505DD7">
        <w:rPr>
          <w:rFonts w:cs="Segoe UI"/>
          <w:sz w:val="24"/>
          <w:szCs w:val="24"/>
        </w:rPr>
        <w:t xml:space="preserve"> approach.</w:t>
      </w:r>
    </w:p>
    <w:p w:rsidR="00D50825" w:rsidRPr="008F396B" w:rsidRDefault="00D50825" w:rsidP="00812A57">
      <w:pPr>
        <w:pStyle w:val="NoSpacing"/>
        <w:rPr>
          <w:rFonts w:cs="Segoe UI"/>
          <w:sz w:val="16"/>
          <w:szCs w:val="16"/>
        </w:rPr>
      </w:pPr>
    </w:p>
    <w:p w:rsidR="007B54BD" w:rsidRPr="00812A57" w:rsidRDefault="00812A57" w:rsidP="0032160B">
      <w:pPr>
        <w:pStyle w:val="Heading2"/>
      </w:pPr>
      <w:bookmarkStart w:id="20" w:name="_Toc345348389"/>
      <w:r w:rsidRPr="00812A57">
        <w:t>Straight Through Processing</w:t>
      </w:r>
      <w:bookmarkEnd w:id="20"/>
    </w:p>
    <w:p w:rsidR="00836C40" w:rsidRPr="00836C40" w:rsidRDefault="007B54BD" w:rsidP="007B54BD">
      <w:pPr>
        <w:pStyle w:val="NoSpacing"/>
        <w:rPr>
          <w:sz w:val="24"/>
          <w:szCs w:val="24"/>
        </w:rPr>
      </w:pPr>
      <w:r>
        <w:rPr>
          <w:sz w:val="24"/>
          <w:szCs w:val="24"/>
        </w:rPr>
        <w:t xml:space="preserve">The advent of </w:t>
      </w:r>
      <w:hyperlink w:anchor="STP" w:history="1">
        <w:r w:rsidRPr="00425E01">
          <w:rPr>
            <w:rStyle w:val="Hyperlink"/>
            <w:sz w:val="24"/>
            <w:szCs w:val="24"/>
          </w:rPr>
          <w:t>STP</w:t>
        </w:r>
      </w:hyperlink>
      <w:r w:rsidR="0029408B">
        <w:rPr>
          <w:sz w:val="24"/>
          <w:szCs w:val="24"/>
        </w:rPr>
        <w:t xml:space="preserve"> </w:t>
      </w:r>
      <w:r w:rsidRPr="00DA5E0E">
        <w:rPr>
          <w:sz w:val="24"/>
          <w:szCs w:val="24"/>
        </w:rPr>
        <w:t>among business enterprises has yielded strong business value. According to Wik</w:t>
      </w:r>
      <w:r w:rsidR="00836C40">
        <w:rPr>
          <w:sz w:val="24"/>
          <w:szCs w:val="24"/>
        </w:rPr>
        <w:t>ipedia, “</w:t>
      </w:r>
      <w:r w:rsidRPr="00836C40">
        <w:rPr>
          <w:sz w:val="24"/>
          <w:szCs w:val="24"/>
        </w:rPr>
        <w:t>Straight-through processing (</w:t>
      </w:r>
      <w:hyperlink w:anchor="STP" w:history="1">
        <w:r w:rsidRPr="00425E01">
          <w:rPr>
            <w:rStyle w:val="Hyperlink"/>
            <w:sz w:val="24"/>
            <w:szCs w:val="24"/>
          </w:rPr>
          <w:t>STP</w:t>
        </w:r>
      </w:hyperlink>
      <w:r w:rsidRPr="00836C40">
        <w:rPr>
          <w:sz w:val="24"/>
          <w:szCs w:val="24"/>
        </w:rPr>
        <w:t>) enables the entire trade process for</w:t>
      </w:r>
      <w:r w:rsidR="0029408B">
        <w:rPr>
          <w:sz w:val="24"/>
          <w:szCs w:val="24"/>
        </w:rPr>
        <w:t xml:space="preserve"> </w:t>
      </w:r>
      <w:r w:rsidRPr="00836C40">
        <w:rPr>
          <w:sz w:val="24"/>
          <w:szCs w:val="24"/>
        </w:rPr>
        <w:t>payment transactions to be conducted electronically without the need for re-keying or manual intervention, subject to legal and regulatory restrictions.</w:t>
      </w:r>
      <w:r w:rsidR="00836C40" w:rsidRPr="00836C40">
        <w:rPr>
          <w:sz w:val="24"/>
          <w:szCs w:val="24"/>
        </w:rPr>
        <w:t>”</w:t>
      </w:r>
    </w:p>
    <w:p w:rsidR="00967FCF" w:rsidRDefault="00967FCF" w:rsidP="007B54BD">
      <w:pPr>
        <w:pStyle w:val="NoSpacing"/>
        <w:rPr>
          <w:sz w:val="24"/>
          <w:szCs w:val="24"/>
        </w:rPr>
      </w:pPr>
    </w:p>
    <w:p w:rsidR="007B54BD" w:rsidRPr="00DA5E0E" w:rsidRDefault="007B54BD" w:rsidP="007B54BD">
      <w:pPr>
        <w:pStyle w:val="NoSpacing"/>
        <w:rPr>
          <w:sz w:val="24"/>
          <w:szCs w:val="24"/>
        </w:rPr>
      </w:pPr>
      <w:r w:rsidRPr="00DA5E0E">
        <w:rPr>
          <w:sz w:val="24"/>
          <w:szCs w:val="24"/>
        </w:rPr>
        <w:t xml:space="preserve">Clearly, the business of healthcare is in need of streamlined systems and processes in several key areas. The adaptation of </w:t>
      </w:r>
      <w:hyperlink w:anchor="STP" w:history="1">
        <w:r w:rsidRPr="00425E01">
          <w:rPr>
            <w:rStyle w:val="Hyperlink"/>
            <w:sz w:val="24"/>
            <w:szCs w:val="24"/>
          </w:rPr>
          <w:t>STP</w:t>
        </w:r>
      </w:hyperlink>
      <w:r w:rsidRPr="00DA5E0E">
        <w:rPr>
          <w:sz w:val="24"/>
          <w:szCs w:val="24"/>
        </w:rPr>
        <w:t xml:space="preserve"> practices could provide strong business value for the healthcare provider. In a growing number of cases, healthcare providers are already piecing together the technology components that can advance this area through point applications that process electronic remittances into the patient accounting </w:t>
      </w:r>
      <w:r w:rsidR="0029408B" w:rsidRPr="00DA5E0E">
        <w:rPr>
          <w:sz w:val="24"/>
          <w:szCs w:val="24"/>
        </w:rPr>
        <w:t>platforms. Dollars</w:t>
      </w:r>
      <w:r w:rsidRPr="00DA5E0E">
        <w:rPr>
          <w:sz w:val="24"/>
          <w:szCs w:val="24"/>
        </w:rPr>
        <w:t xml:space="preserve"> that are received, and their associated remittances, are being automatically reconciled with bank accounts, </w:t>
      </w:r>
      <w:r>
        <w:rPr>
          <w:sz w:val="24"/>
          <w:szCs w:val="24"/>
        </w:rPr>
        <w:t xml:space="preserve">are </w:t>
      </w:r>
      <w:r w:rsidRPr="00DA5E0E">
        <w:rPr>
          <w:sz w:val="24"/>
          <w:szCs w:val="24"/>
        </w:rPr>
        <w:t>posted</w:t>
      </w:r>
      <w:r>
        <w:rPr>
          <w:sz w:val="24"/>
          <w:szCs w:val="24"/>
        </w:rPr>
        <w:t>,</w:t>
      </w:r>
      <w:r w:rsidRPr="00DA5E0E">
        <w:rPr>
          <w:sz w:val="24"/>
          <w:szCs w:val="24"/>
        </w:rPr>
        <w:t xml:space="preserve"> and </w:t>
      </w:r>
      <w:r>
        <w:rPr>
          <w:sz w:val="24"/>
          <w:szCs w:val="24"/>
        </w:rPr>
        <w:t xml:space="preserve">are </w:t>
      </w:r>
      <w:r w:rsidRPr="00DA5E0E">
        <w:rPr>
          <w:sz w:val="24"/>
          <w:szCs w:val="24"/>
        </w:rPr>
        <w:t xml:space="preserve">kicking off a wave of downstream processes that </w:t>
      </w:r>
      <w:r w:rsidR="003E33D1">
        <w:rPr>
          <w:sz w:val="24"/>
          <w:szCs w:val="24"/>
        </w:rPr>
        <w:t>traditionally</w:t>
      </w:r>
      <w:r w:rsidRPr="00DA5E0E">
        <w:rPr>
          <w:sz w:val="24"/>
          <w:szCs w:val="24"/>
        </w:rPr>
        <w:t xml:space="preserve"> require</w:t>
      </w:r>
      <w:r w:rsidR="003E33D1">
        <w:rPr>
          <w:sz w:val="24"/>
          <w:szCs w:val="24"/>
        </w:rPr>
        <w:t>d</w:t>
      </w:r>
      <w:r w:rsidRPr="00DA5E0E">
        <w:rPr>
          <w:sz w:val="24"/>
          <w:szCs w:val="24"/>
        </w:rPr>
        <w:t xml:space="preserve"> manual intervention. </w:t>
      </w:r>
    </w:p>
    <w:p w:rsidR="007B54BD" w:rsidRPr="00DA5E0E" w:rsidRDefault="007B54BD" w:rsidP="007B54BD">
      <w:pPr>
        <w:pStyle w:val="NoSpacing"/>
        <w:rPr>
          <w:rFonts w:cs="Segoe UI"/>
          <w:sz w:val="24"/>
          <w:szCs w:val="24"/>
        </w:rPr>
      </w:pPr>
    </w:p>
    <w:p w:rsidR="007B54BD" w:rsidRPr="00DA5E0E" w:rsidRDefault="007B54BD" w:rsidP="007B54BD">
      <w:pPr>
        <w:pStyle w:val="NoSpacing"/>
        <w:rPr>
          <w:rFonts w:cs="Segoe UI"/>
          <w:sz w:val="24"/>
          <w:szCs w:val="24"/>
        </w:rPr>
      </w:pPr>
      <w:r w:rsidRPr="00DA5E0E">
        <w:rPr>
          <w:rFonts w:cs="Segoe UI"/>
          <w:sz w:val="24"/>
          <w:szCs w:val="24"/>
        </w:rPr>
        <w:t>Moreover, banks and financial institutions are playing an increasing role in the healthcare field by offering new data pr</w:t>
      </w:r>
      <w:r w:rsidR="003E33D1">
        <w:rPr>
          <w:rFonts w:cs="Segoe UI"/>
          <w:sz w:val="24"/>
          <w:szCs w:val="24"/>
        </w:rPr>
        <w:t xml:space="preserve">ocessing services that address </w:t>
      </w:r>
      <w:r w:rsidRPr="00DA5E0E">
        <w:rPr>
          <w:rFonts w:cs="Segoe UI"/>
          <w:sz w:val="24"/>
          <w:szCs w:val="24"/>
        </w:rPr>
        <w:t xml:space="preserve">healthcare </w:t>
      </w:r>
      <w:hyperlink w:anchor="STP" w:history="1">
        <w:r w:rsidRPr="00425E01">
          <w:rPr>
            <w:rStyle w:val="Hyperlink"/>
            <w:rFonts w:cs="Segoe UI"/>
            <w:sz w:val="24"/>
            <w:szCs w:val="24"/>
          </w:rPr>
          <w:t>STP</w:t>
        </w:r>
      </w:hyperlink>
      <w:r w:rsidRPr="00DA5E0E">
        <w:rPr>
          <w:rFonts w:cs="Segoe UI"/>
          <w:sz w:val="24"/>
          <w:szCs w:val="24"/>
        </w:rPr>
        <w:t xml:space="preserve"> and provide other value added services for the stakeholders that leverage their “first in line” position for receiving and pro</w:t>
      </w:r>
      <w:r>
        <w:rPr>
          <w:rFonts w:cs="Segoe UI"/>
          <w:sz w:val="24"/>
          <w:szCs w:val="24"/>
        </w:rPr>
        <w:t xml:space="preserve">cessing electronic remittances </w:t>
      </w:r>
      <w:r w:rsidRPr="00DA5E0E">
        <w:rPr>
          <w:rFonts w:cs="Segoe UI"/>
          <w:sz w:val="24"/>
          <w:szCs w:val="24"/>
        </w:rPr>
        <w:t>when those remittances are sent to the provi</w:t>
      </w:r>
      <w:r>
        <w:rPr>
          <w:rFonts w:cs="Segoe UI"/>
          <w:sz w:val="24"/>
          <w:szCs w:val="24"/>
        </w:rPr>
        <w:t>der with the healthcare payment</w:t>
      </w:r>
      <w:r w:rsidRPr="00DA5E0E">
        <w:rPr>
          <w:rFonts w:cs="Segoe UI"/>
          <w:sz w:val="24"/>
          <w:szCs w:val="24"/>
        </w:rPr>
        <w:t xml:space="preserve">. </w:t>
      </w:r>
      <w:r w:rsidR="003E33D1">
        <w:rPr>
          <w:rFonts w:cs="Segoe UI"/>
          <w:sz w:val="24"/>
          <w:szCs w:val="24"/>
        </w:rPr>
        <w:t>These services are</w:t>
      </w:r>
      <w:r w:rsidRPr="00DA5E0E">
        <w:rPr>
          <w:rFonts w:cs="Segoe UI"/>
          <w:sz w:val="24"/>
          <w:szCs w:val="24"/>
        </w:rPr>
        <w:t xml:space="preserve"> referred to as “medical </w:t>
      </w:r>
      <w:r w:rsidR="0029408B" w:rsidRPr="00DA5E0E">
        <w:rPr>
          <w:rFonts w:cs="Segoe UI"/>
          <w:sz w:val="24"/>
          <w:szCs w:val="24"/>
        </w:rPr>
        <w:t>banking”</w:t>
      </w:r>
      <w:r w:rsidR="0029408B">
        <w:rPr>
          <w:rFonts w:cs="Segoe UI"/>
          <w:sz w:val="24"/>
          <w:szCs w:val="24"/>
        </w:rPr>
        <w:t xml:space="preserve"> and</w:t>
      </w:r>
      <w:r w:rsidR="003E33D1">
        <w:rPr>
          <w:rFonts w:cs="Segoe UI"/>
          <w:sz w:val="24"/>
          <w:szCs w:val="24"/>
        </w:rPr>
        <w:t xml:space="preserve"> have </w:t>
      </w:r>
      <w:r w:rsidRPr="00DA5E0E">
        <w:rPr>
          <w:rFonts w:cs="Segoe UI"/>
          <w:sz w:val="24"/>
          <w:szCs w:val="24"/>
        </w:rPr>
        <w:t>generated new thinking around best practices for revenue cycle management according to a major hospital network.</w:t>
      </w:r>
      <w:r w:rsidRPr="00DA5E0E">
        <w:rPr>
          <w:rStyle w:val="EndnoteReference"/>
          <w:rFonts w:cs="Segoe UI"/>
          <w:sz w:val="24"/>
          <w:szCs w:val="24"/>
        </w:rPr>
        <w:endnoteReference w:id="5"/>
      </w:r>
    </w:p>
    <w:p w:rsidR="007B54BD" w:rsidRPr="00DA5E0E" w:rsidRDefault="007B54BD" w:rsidP="007B54BD">
      <w:pPr>
        <w:pStyle w:val="NoSpacing"/>
        <w:rPr>
          <w:rFonts w:cs="Segoe UI"/>
          <w:sz w:val="24"/>
          <w:szCs w:val="24"/>
        </w:rPr>
      </w:pPr>
    </w:p>
    <w:p w:rsidR="007B54BD" w:rsidRDefault="007B54BD" w:rsidP="007B54BD">
      <w:pPr>
        <w:pStyle w:val="NoSpacing"/>
        <w:rPr>
          <w:rFonts w:cs="Segoe UI"/>
          <w:sz w:val="24"/>
          <w:szCs w:val="24"/>
        </w:rPr>
      </w:pPr>
      <w:r>
        <w:rPr>
          <w:rFonts w:cs="Segoe UI"/>
          <w:sz w:val="24"/>
          <w:szCs w:val="24"/>
        </w:rPr>
        <w:t>Yet in many circumstances</w:t>
      </w:r>
      <w:r w:rsidRPr="00DA5E0E">
        <w:rPr>
          <w:rFonts w:cs="Segoe UI"/>
          <w:sz w:val="24"/>
          <w:szCs w:val="24"/>
        </w:rPr>
        <w:t xml:space="preserve">, the processing of claims payment and </w:t>
      </w:r>
      <w:r>
        <w:rPr>
          <w:rFonts w:cs="Segoe UI"/>
          <w:sz w:val="24"/>
          <w:szCs w:val="24"/>
        </w:rPr>
        <w:t>remittance advice</w:t>
      </w:r>
      <w:r w:rsidRPr="00DA5E0E">
        <w:rPr>
          <w:rFonts w:cs="Segoe UI"/>
          <w:sz w:val="24"/>
          <w:szCs w:val="24"/>
        </w:rPr>
        <w:t xml:space="preserve"> requires significant manual intervention at </w:t>
      </w:r>
      <w:r>
        <w:rPr>
          <w:rFonts w:cs="Segoe UI"/>
          <w:sz w:val="24"/>
          <w:szCs w:val="24"/>
        </w:rPr>
        <w:t>various</w:t>
      </w:r>
      <w:r w:rsidRPr="00DA5E0E">
        <w:rPr>
          <w:rFonts w:cs="Segoe UI"/>
          <w:sz w:val="24"/>
          <w:szCs w:val="24"/>
        </w:rPr>
        <w:t xml:space="preserve"> points between the provider</w:t>
      </w:r>
      <w:r>
        <w:rPr>
          <w:rFonts w:cs="Segoe UI"/>
          <w:sz w:val="24"/>
          <w:szCs w:val="24"/>
        </w:rPr>
        <w:t xml:space="preserve"> and the payers, including </w:t>
      </w:r>
      <w:r w:rsidRPr="00DA5E0E">
        <w:rPr>
          <w:rFonts w:cs="Segoe UI"/>
          <w:sz w:val="24"/>
          <w:szCs w:val="24"/>
        </w:rPr>
        <w:t>clearinghouses, IT vendors</w:t>
      </w:r>
      <w:r>
        <w:rPr>
          <w:rFonts w:cs="Segoe UI"/>
          <w:sz w:val="24"/>
          <w:szCs w:val="24"/>
        </w:rPr>
        <w:t>,</w:t>
      </w:r>
      <w:r w:rsidRPr="00DA5E0E">
        <w:rPr>
          <w:rFonts w:cs="Segoe UI"/>
          <w:sz w:val="24"/>
          <w:szCs w:val="24"/>
        </w:rPr>
        <w:t xml:space="preserve"> and banks. The current processes and </w:t>
      </w:r>
      <w:r w:rsidRPr="00DA5E0E">
        <w:rPr>
          <w:rFonts w:cs="Segoe UI"/>
          <w:sz w:val="24"/>
          <w:szCs w:val="24"/>
        </w:rPr>
        <w:lastRenderedPageBreak/>
        <w:t xml:space="preserve">supporting infrastructure generally do not allow for even simple end-to-end reconciliation. Receivables outstanding may be adversely impacted as payers adjudicate claims, engage in Q&amp;A with providers on coverage specifics and ultimately </w:t>
      </w:r>
      <w:r w:rsidR="0029408B" w:rsidRPr="00DA5E0E">
        <w:rPr>
          <w:rFonts w:cs="Segoe UI"/>
          <w:sz w:val="24"/>
          <w:szCs w:val="24"/>
        </w:rPr>
        <w:t>settle payments</w:t>
      </w:r>
      <w:r w:rsidRPr="00DA5E0E">
        <w:rPr>
          <w:rFonts w:cs="Segoe UI"/>
          <w:sz w:val="24"/>
          <w:szCs w:val="24"/>
        </w:rPr>
        <w:t xml:space="preserve"> to the provider’s bank.</w:t>
      </w:r>
      <w:r w:rsidR="000E50F7">
        <w:rPr>
          <w:rFonts w:cs="Segoe UI"/>
          <w:sz w:val="24"/>
          <w:szCs w:val="24"/>
        </w:rPr>
        <w:t xml:space="preserve"> </w:t>
      </w:r>
    </w:p>
    <w:p w:rsidR="00536651" w:rsidRPr="004351A3" w:rsidRDefault="00536651" w:rsidP="00536651">
      <w:pPr>
        <w:pStyle w:val="Heading2"/>
      </w:pPr>
      <w:bookmarkStart w:id="21" w:name="_Toc340052364"/>
      <w:bookmarkStart w:id="22" w:name="_Toc345348390"/>
      <w:r w:rsidRPr="004351A3">
        <w:t>Market Opportunity</w:t>
      </w:r>
      <w:bookmarkEnd w:id="21"/>
      <w:bookmarkEnd w:id="22"/>
    </w:p>
    <w:p w:rsidR="00536651" w:rsidRDefault="00536651" w:rsidP="00536651">
      <w:pPr>
        <w:tabs>
          <w:tab w:val="left" w:pos="4245"/>
        </w:tabs>
        <w:rPr>
          <w:rFonts w:cs="Segoe UI"/>
          <w:sz w:val="24"/>
          <w:szCs w:val="24"/>
        </w:rPr>
      </w:pPr>
      <w:r>
        <w:rPr>
          <w:rFonts w:cs="Segoe UI"/>
          <w:sz w:val="24"/>
          <w:szCs w:val="24"/>
        </w:rPr>
        <w:t>In defining the</w:t>
      </w:r>
      <w:r w:rsidRPr="00584FC7">
        <w:rPr>
          <w:rFonts w:cs="Segoe UI"/>
          <w:sz w:val="24"/>
          <w:szCs w:val="24"/>
        </w:rPr>
        <w:t xml:space="preserve"> requirements for</w:t>
      </w:r>
      <w:r w:rsidR="0029408B">
        <w:rPr>
          <w:rFonts w:cs="Segoe UI"/>
          <w:sz w:val="24"/>
          <w:szCs w:val="24"/>
        </w:rPr>
        <w:t xml:space="preserve"> </w:t>
      </w:r>
      <w:r>
        <w:rPr>
          <w:rFonts w:cs="Segoe UI"/>
          <w:sz w:val="24"/>
          <w:szCs w:val="24"/>
        </w:rPr>
        <w:t xml:space="preserve">a healthcare payments hub </w:t>
      </w:r>
      <w:r w:rsidRPr="00584FC7">
        <w:rPr>
          <w:rFonts w:cs="Segoe UI"/>
          <w:sz w:val="24"/>
          <w:szCs w:val="24"/>
        </w:rPr>
        <w:t xml:space="preserve">architecture, it </w:t>
      </w:r>
      <w:r>
        <w:rPr>
          <w:rFonts w:cs="Segoe UI"/>
          <w:sz w:val="24"/>
          <w:szCs w:val="24"/>
        </w:rPr>
        <w:t>is necessary to identify all of the impacted</w:t>
      </w:r>
      <w:r w:rsidRPr="00584FC7">
        <w:rPr>
          <w:rFonts w:cs="Segoe UI"/>
          <w:sz w:val="24"/>
          <w:szCs w:val="24"/>
        </w:rPr>
        <w:t xml:space="preserve"> stakeholders in the processing environment.</w:t>
      </w:r>
      <w:r w:rsidR="000E50F7">
        <w:rPr>
          <w:rFonts w:cs="Segoe UI"/>
          <w:sz w:val="24"/>
          <w:szCs w:val="24"/>
        </w:rPr>
        <w:t xml:space="preserve"> </w:t>
      </w:r>
      <w:r w:rsidRPr="00584FC7">
        <w:rPr>
          <w:rFonts w:cs="Segoe UI"/>
          <w:sz w:val="24"/>
          <w:szCs w:val="24"/>
        </w:rPr>
        <w:t>The diagram below outlines the full landscape.</w:t>
      </w:r>
    </w:p>
    <w:p w:rsidR="00536651" w:rsidRPr="00B4085C" w:rsidRDefault="00536651" w:rsidP="00536651">
      <w:pPr>
        <w:tabs>
          <w:tab w:val="left" w:pos="4245"/>
        </w:tabs>
        <w:rPr>
          <w:rFonts w:cs="Segoe UI"/>
          <w:sz w:val="24"/>
          <w:szCs w:val="24"/>
        </w:rPr>
      </w:pPr>
      <w:r w:rsidRPr="00603FE7">
        <w:rPr>
          <w:rFonts w:cs="Segoe UI"/>
          <w:noProof/>
          <w:sz w:val="44"/>
          <w:szCs w:val="44"/>
          <w:lang w:bidi="ar-SA"/>
        </w:rPr>
        <w:drawing>
          <wp:inline distT="0" distB="0" distL="0" distR="0">
            <wp:extent cx="5940865" cy="2848708"/>
            <wp:effectExtent l="19050" t="0" r="27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942135" cy="2849317"/>
                    </a:xfrm>
                    <a:prstGeom prst="rect">
                      <a:avLst/>
                    </a:prstGeom>
                    <a:noFill/>
                  </pic:spPr>
                </pic:pic>
              </a:graphicData>
            </a:graphic>
          </wp:inline>
        </w:drawing>
      </w:r>
    </w:p>
    <w:p w:rsidR="00536651" w:rsidRPr="00B4085C" w:rsidRDefault="00536651" w:rsidP="00536651">
      <w:pPr>
        <w:pStyle w:val="NoSpacing"/>
        <w:rPr>
          <w:sz w:val="24"/>
          <w:szCs w:val="24"/>
        </w:rPr>
      </w:pPr>
      <w:r w:rsidRPr="00B4085C">
        <w:rPr>
          <w:sz w:val="24"/>
          <w:szCs w:val="24"/>
        </w:rPr>
        <w:t>Within this ecosystem, the market transaction size is somewhat staggering</w:t>
      </w:r>
      <w:r>
        <w:rPr>
          <w:sz w:val="24"/>
          <w:szCs w:val="24"/>
        </w:rPr>
        <w:t>:</w:t>
      </w:r>
    </w:p>
    <w:p w:rsidR="00536651" w:rsidRPr="00B4085C" w:rsidRDefault="00536651" w:rsidP="00FD7D34">
      <w:pPr>
        <w:pStyle w:val="NoSpacing"/>
        <w:numPr>
          <w:ilvl w:val="0"/>
          <w:numId w:val="14"/>
        </w:numPr>
        <w:rPr>
          <w:sz w:val="24"/>
          <w:szCs w:val="24"/>
        </w:rPr>
      </w:pPr>
      <w:r w:rsidRPr="00B4085C">
        <w:rPr>
          <w:sz w:val="24"/>
          <w:szCs w:val="24"/>
        </w:rPr>
        <w:t>Claims market size: 6 billion+ (claims processed to third party payers, not patient pay)</w:t>
      </w:r>
    </w:p>
    <w:p w:rsidR="00536651" w:rsidRPr="00B4085C" w:rsidRDefault="00536651" w:rsidP="00FD7D34">
      <w:pPr>
        <w:pStyle w:val="NoSpacing"/>
        <w:numPr>
          <w:ilvl w:val="0"/>
          <w:numId w:val="14"/>
        </w:numPr>
        <w:rPr>
          <w:sz w:val="24"/>
          <w:szCs w:val="24"/>
        </w:rPr>
      </w:pPr>
      <w:r w:rsidRPr="00B4085C">
        <w:rPr>
          <w:sz w:val="24"/>
          <w:szCs w:val="24"/>
        </w:rPr>
        <w:t>Third party payer remittance market size: 12 billion (conservative estimate based on receiving a small number of partial payments for each claim)</w:t>
      </w:r>
    </w:p>
    <w:p w:rsidR="00536651" w:rsidRPr="00B4085C" w:rsidRDefault="00536651" w:rsidP="00536651">
      <w:pPr>
        <w:pStyle w:val="NoSpacing"/>
        <w:rPr>
          <w:sz w:val="24"/>
          <w:szCs w:val="24"/>
        </w:rPr>
      </w:pPr>
    </w:p>
    <w:p w:rsidR="00536651" w:rsidRPr="00B4085C" w:rsidRDefault="00536651" w:rsidP="00536651">
      <w:pPr>
        <w:pStyle w:val="NoSpacing"/>
        <w:rPr>
          <w:sz w:val="24"/>
          <w:szCs w:val="24"/>
        </w:rPr>
      </w:pPr>
      <w:r w:rsidRPr="00B4085C">
        <w:rPr>
          <w:sz w:val="24"/>
          <w:szCs w:val="24"/>
        </w:rPr>
        <w:t>The estimated remittance breakdown is:</w:t>
      </w:r>
    </w:p>
    <w:p w:rsidR="00536651" w:rsidRPr="00B4085C" w:rsidRDefault="00536651" w:rsidP="00FD7D34">
      <w:pPr>
        <w:pStyle w:val="NoSpacing"/>
        <w:numPr>
          <w:ilvl w:val="0"/>
          <w:numId w:val="15"/>
        </w:numPr>
        <w:rPr>
          <w:sz w:val="24"/>
          <w:szCs w:val="24"/>
        </w:rPr>
      </w:pPr>
      <w:r w:rsidRPr="00B4085C">
        <w:rPr>
          <w:sz w:val="24"/>
          <w:szCs w:val="24"/>
        </w:rPr>
        <w:t>Commercial: 5 billion (includes all commercial payers, BC/BS)</w:t>
      </w:r>
    </w:p>
    <w:p w:rsidR="00536651" w:rsidRPr="00B4085C" w:rsidRDefault="00536651" w:rsidP="00FD7D34">
      <w:pPr>
        <w:pStyle w:val="NoSpacing"/>
        <w:numPr>
          <w:ilvl w:val="0"/>
          <w:numId w:val="15"/>
        </w:numPr>
        <w:rPr>
          <w:sz w:val="24"/>
          <w:szCs w:val="24"/>
        </w:rPr>
      </w:pPr>
      <w:r w:rsidRPr="00B4085C">
        <w:rPr>
          <w:sz w:val="24"/>
          <w:szCs w:val="24"/>
        </w:rPr>
        <w:t>Government: 7 billion (includes Medicare, Medicaid, Champus and other government plans)</w:t>
      </w:r>
    </w:p>
    <w:p w:rsidR="00536651" w:rsidRPr="00B4085C" w:rsidRDefault="00536651" w:rsidP="00FD7D34">
      <w:pPr>
        <w:pStyle w:val="NoSpacing"/>
        <w:numPr>
          <w:ilvl w:val="0"/>
          <w:numId w:val="15"/>
        </w:numPr>
        <w:rPr>
          <w:sz w:val="24"/>
          <w:szCs w:val="24"/>
        </w:rPr>
      </w:pPr>
      <w:r w:rsidRPr="00B4085C">
        <w:rPr>
          <w:sz w:val="24"/>
          <w:szCs w:val="24"/>
        </w:rPr>
        <w:t>Self-pay remittances: 18 billion (based on an average of 3 additional payments for each claim)</w:t>
      </w:r>
    </w:p>
    <w:p w:rsidR="00536651" w:rsidRPr="00B4085C" w:rsidRDefault="00536651" w:rsidP="00536651">
      <w:pPr>
        <w:pStyle w:val="NoSpacing"/>
      </w:pPr>
    </w:p>
    <w:p w:rsidR="00536651" w:rsidRPr="00B4085C" w:rsidRDefault="00536651" w:rsidP="00536651">
      <w:pPr>
        <w:pStyle w:val="NoSpacing"/>
        <w:rPr>
          <w:rFonts w:cs="Segoe UI"/>
          <w:sz w:val="24"/>
          <w:szCs w:val="24"/>
        </w:rPr>
      </w:pPr>
      <w:r w:rsidRPr="00B4085C">
        <w:rPr>
          <w:rFonts w:cs="Segoe UI"/>
          <w:sz w:val="24"/>
          <w:szCs w:val="24"/>
        </w:rPr>
        <w:t>The estimated number of EDI connection points for just hospitals, payers and physicians is:</w:t>
      </w:r>
    </w:p>
    <w:p w:rsidR="00536651" w:rsidRPr="00B4085C" w:rsidRDefault="00536651" w:rsidP="00FD7D34">
      <w:pPr>
        <w:pStyle w:val="NoSpacing"/>
        <w:numPr>
          <w:ilvl w:val="0"/>
          <w:numId w:val="16"/>
        </w:numPr>
        <w:rPr>
          <w:rFonts w:cs="Segoe UI"/>
          <w:sz w:val="24"/>
          <w:szCs w:val="24"/>
        </w:rPr>
      </w:pPr>
      <w:r w:rsidRPr="00B4085C">
        <w:rPr>
          <w:rFonts w:cs="Segoe UI"/>
          <w:sz w:val="24"/>
          <w:szCs w:val="24"/>
        </w:rPr>
        <w:t>Hospitals: 6,000</w:t>
      </w:r>
    </w:p>
    <w:p w:rsidR="00536651" w:rsidRPr="00B4085C" w:rsidRDefault="00536651" w:rsidP="00FD7D34">
      <w:pPr>
        <w:pStyle w:val="NoSpacing"/>
        <w:numPr>
          <w:ilvl w:val="0"/>
          <w:numId w:val="16"/>
        </w:numPr>
        <w:rPr>
          <w:rFonts w:cs="Segoe UI"/>
          <w:sz w:val="24"/>
          <w:szCs w:val="24"/>
        </w:rPr>
      </w:pPr>
      <w:r w:rsidRPr="00B4085C">
        <w:rPr>
          <w:rFonts w:cs="Segoe UI"/>
          <w:sz w:val="24"/>
          <w:szCs w:val="24"/>
        </w:rPr>
        <w:t>Payers: 2,000 (note that the number of health plans is different; Aetna alone offers hundreds of health plans)</w:t>
      </w:r>
    </w:p>
    <w:p w:rsidR="00536651" w:rsidRPr="00B4085C" w:rsidRDefault="00536651" w:rsidP="00FD7D34">
      <w:pPr>
        <w:pStyle w:val="NoSpacing"/>
        <w:numPr>
          <w:ilvl w:val="0"/>
          <w:numId w:val="16"/>
        </w:numPr>
        <w:rPr>
          <w:rFonts w:cs="Segoe UI"/>
          <w:sz w:val="24"/>
          <w:szCs w:val="24"/>
        </w:rPr>
      </w:pPr>
      <w:r w:rsidRPr="00B4085C">
        <w:rPr>
          <w:rFonts w:cs="Segoe UI"/>
          <w:sz w:val="24"/>
          <w:szCs w:val="24"/>
        </w:rPr>
        <w:t>Active physicians: 750,000</w:t>
      </w:r>
    </w:p>
    <w:p w:rsidR="00536651" w:rsidRDefault="00536651" w:rsidP="00536651">
      <w:pPr>
        <w:pStyle w:val="NoSpacing"/>
        <w:rPr>
          <w:sz w:val="24"/>
          <w:szCs w:val="24"/>
        </w:rPr>
      </w:pPr>
    </w:p>
    <w:p w:rsidR="00536651" w:rsidRDefault="00536651" w:rsidP="00536651">
      <w:pPr>
        <w:pStyle w:val="NoSpacing"/>
        <w:rPr>
          <w:sz w:val="24"/>
          <w:szCs w:val="24"/>
        </w:rPr>
      </w:pPr>
      <w:r w:rsidRPr="00926068">
        <w:rPr>
          <w:sz w:val="24"/>
          <w:szCs w:val="24"/>
        </w:rPr>
        <w:lastRenderedPageBreak/>
        <w:t xml:space="preserve">Collectively, this data exemplifies the market opportunity and the scope of impact for a new </w:t>
      </w:r>
      <w:r>
        <w:rPr>
          <w:sz w:val="24"/>
          <w:szCs w:val="24"/>
        </w:rPr>
        <w:t xml:space="preserve">healthcare </w:t>
      </w:r>
      <w:r w:rsidRPr="00926068">
        <w:rPr>
          <w:sz w:val="24"/>
          <w:szCs w:val="24"/>
        </w:rPr>
        <w:t>payments hub. This type of innovation could provide an efficient payment and remittance channel between the stakeholders that dramatically increases administrative efficiency in healthcare.</w:t>
      </w:r>
    </w:p>
    <w:p w:rsidR="007B54BD" w:rsidRDefault="00536651" w:rsidP="00536651">
      <w:pPr>
        <w:pStyle w:val="Heading2"/>
      </w:pPr>
      <w:bookmarkStart w:id="23" w:name="_Toc345348391"/>
      <w:r>
        <w:t>Paradigm Shift</w:t>
      </w:r>
      <w:bookmarkEnd w:id="23"/>
    </w:p>
    <w:p w:rsidR="00415652" w:rsidRDefault="00E43C2A" w:rsidP="00415652">
      <w:pPr>
        <w:pStyle w:val="NoSpacing"/>
        <w:rPr>
          <w:sz w:val="24"/>
          <w:szCs w:val="24"/>
        </w:rPr>
      </w:pPr>
      <w:r>
        <w:rPr>
          <w:sz w:val="24"/>
          <w:szCs w:val="24"/>
        </w:rPr>
        <w:t xml:space="preserve">A Healthcare Payments Hub could instigate a “sea </w:t>
      </w:r>
      <w:r w:rsidR="0029408B">
        <w:rPr>
          <w:sz w:val="24"/>
          <w:szCs w:val="24"/>
        </w:rPr>
        <w:t>change” in</w:t>
      </w:r>
      <w:r>
        <w:rPr>
          <w:sz w:val="24"/>
          <w:szCs w:val="24"/>
        </w:rPr>
        <w:t xml:space="preserve"> the healthcare payments area.</w:t>
      </w:r>
      <w:r w:rsidR="000E50F7">
        <w:rPr>
          <w:sz w:val="24"/>
          <w:szCs w:val="24"/>
        </w:rPr>
        <w:t xml:space="preserve"> </w:t>
      </w:r>
      <w:r>
        <w:rPr>
          <w:sz w:val="24"/>
          <w:szCs w:val="24"/>
        </w:rPr>
        <w:t>This</w:t>
      </w:r>
      <w:r w:rsidR="000E50F7">
        <w:rPr>
          <w:sz w:val="24"/>
          <w:szCs w:val="24"/>
        </w:rPr>
        <w:t xml:space="preserve"> </w:t>
      </w:r>
      <w:r w:rsidR="00536651">
        <w:rPr>
          <w:sz w:val="24"/>
          <w:szCs w:val="24"/>
        </w:rPr>
        <w:t xml:space="preserve">paradigm </w:t>
      </w:r>
      <w:r w:rsidR="00415652" w:rsidRPr="00506C93">
        <w:rPr>
          <w:sz w:val="24"/>
          <w:szCs w:val="24"/>
        </w:rPr>
        <w:t>shift will tend to be driven by six major fact</w:t>
      </w:r>
      <w:bookmarkStart w:id="24" w:name="_GoBack"/>
      <w:bookmarkEnd w:id="24"/>
      <w:r w:rsidR="00415652" w:rsidRPr="00506C93">
        <w:rPr>
          <w:sz w:val="24"/>
          <w:szCs w:val="24"/>
        </w:rPr>
        <w:t xml:space="preserve">ors: </w:t>
      </w:r>
    </w:p>
    <w:p w:rsidR="00415652" w:rsidRPr="00506C93" w:rsidRDefault="00415652" w:rsidP="00415652">
      <w:pPr>
        <w:pStyle w:val="NoSpacing"/>
        <w:rPr>
          <w:sz w:val="24"/>
          <w:szCs w:val="24"/>
        </w:rPr>
      </w:pPr>
    </w:p>
    <w:p w:rsidR="00415652" w:rsidRDefault="00415652" w:rsidP="00415652">
      <w:pPr>
        <w:pStyle w:val="NoSpacing"/>
        <w:rPr>
          <w:b/>
          <w:sz w:val="24"/>
          <w:szCs w:val="24"/>
          <w:u w:val="single"/>
        </w:rPr>
      </w:pPr>
      <w:r w:rsidRPr="00506C93">
        <w:rPr>
          <w:b/>
          <w:sz w:val="24"/>
          <w:szCs w:val="24"/>
          <w:u w:val="single"/>
        </w:rPr>
        <w:t>Demand</w:t>
      </w:r>
      <w:r w:rsidRPr="00506C93">
        <w:rPr>
          <w:b/>
          <w:sz w:val="24"/>
          <w:szCs w:val="24"/>
        </w:rPr>
        <w:t xml:space="preserve"> –</w:t>
      </w:r>
      <w:r w:rsidRPr="00506C93">
        <w:rPr>
          <w:sz w:val="24"/>
          <w:szCs w:val="24"/>
        </w:rPr>
        <w:t>Medical banking involves the identification of increasing dependencies between the healthcare and banking industries</w:t>
      </w:r>
      <w:r w:rsidR="00E43C2A">
        <w:rPr>
          <w:sz w:val="24"/>
          <w:szCs w:val="24"/>
        </w:rPr>
        <w:t xml:space="preserve"> that could be leveraged to drive systemic efficiency in the infrastructure of our healthcare systems</w:t>
      </w:r>
      <w:r w:rsidRPr="00506C93">
        <w:rPr>
          <w:sz w:val="24"/>
          <w:szCs w:val="24"/>
        </w:rPr>
        <w:t>. This intersection transacts a healthcare marketplace valued at $2.5 trillion (in 2009)</w:t>
      </w:r>
      <w:r>
        <w:rPr>
          <w:sz w:val="24"/>
          <w:szCs w:val="24"/>
        </w:rPr>
        <w:t>,</w:t>
      </w:r>
      <w:r w:rsidRPr="00506C93">
        <w:rPr>
          <w:sz w:val="24"/>
          <w:szCs w:val="24"/>
        </w:rPr>
        <w:t xml:space="preserve"> yet the component parts are comprised of disconnected point solutions, proprietary technologies, and a heavy reliance on manual processing. Collectively, these practices lag far behind other industries. Through the applied use of a payments and remittance platform, it is possible to enjoy high value data exchanges that offer “near real time” transaction management. As more groups find the value, the demand for efficiency will evolve the platform.</w:t>
      </w:r>
      <w:r w:rsidRPr="00506C93">
        <w:rPr>
          <w:rStyle w:val="EndnoteReference"/>
          <w:rFonts w:cs="Segoe UI"/>
          <w:sz w:val="24"/>
          <w:szCs w:val="24"/>
        </w:rPr>
        <w:endnoteReference w:id="6"/>
      </w:r>
    </w:p>
    <w:p w:rsidR="00415652" w:rsidRDefault="00415652" w:rsidP="00415652">
      <w:pPr>
        <w:pStyle w:val="NoSpacing"/>
        <w:rPr>
          <w:b/>
          <w:sz w:val="24"/>
          <w:szCs w:val="24"/>
          <w:u w:val="single"/>
        </w:rPr>
      </w:pPr>
    </w:p>
    <w:p w:rsidR="00415652" w:rsidRDefault="00415652" w:rsidP="00415652">
      <w:pPr>
        <w:pStyle w:val="NoSpacing"/>
        <w:rPr>
          <w:sz w:val="24"/>
          <w:szCs w:val="24"/>
        </w:rPr>
      </w:pPr>
      <w:r w:rsidRPr="00506C93">
        <w:rPr>
          <w:b/>
          <w:sz w:val="24"/>
          <w:szCs w:val="24"/>
          <w:u w:val="single"/>
        </w:rPr>
        <w:t>Leverage Existing Connections</w:t>
      </w:r>
      <w:r w:rsidRPr="00506C93">
        <w:rPr>
          <w:b/>
          <w:sz w:val="24"/>
          <w:szCs w:val="24"/>
        </w:rPr>
        <w:t xml:space="preserve"> – </w:t>
      </w:r>
      <w:r w:rsidRPr="00506C93">
        <w:rPr>
          <w:sz w:val="24"/>
          <w:szCs w:val="24"/>
        </w:rPr>
        <w:t xml:space="preserve">A </w:t>
      </w:r>
      <w:r w:rsidR="00C720EC" w:rsidRPr="00506C93">
        <w:rPr>
          <w:sz w:val="24"/>
          <w:szCs w:val="24"/>
        </w:rPr>
        <w:t>payments hub</w:t>
      </w:r>
      <w:r w:rsidRPr="00506C93">
        <w:rPr>
          <w:sz w:val="24"/>
          <w:szCs w:val="24"/>
        </w:rPr>
        <w:t xml:space="preserve"> efficiently consolidates multiple counterparty connections, economizes on-boarding to new connections, and reduces maintenance costs. This type of system would allow much more rapid adding and changing of counterparty relationships between payers, providers, clearinghouses, and their processing financial institutions.</w:t>
      </w:r>
      <w:r w:rsidR="000E50F7">
        <w:rPr>
          <w:sz w:val="24"/>
          <w:szCs w:val="24"/>
        </w:rPr>
        <w:t xml:space="preserve"> </w:t>
      </w:r>
      <w:r w:rsidRPr="00506C93">
        <w:rPr>
          <w:sz w:val="24"/>
          <w:szCs w:val="24"/>
        </w:rPr>
        <w:t xml:space="preserve">The more members </w:t>
      </w:r>
      <w:r>
        <w:rPr>
          <w:sz w:val="24"/>
          <w:szCs w:val="24"/>
        </w:rPr>
        <w:t xml:space="preserve">that </w:t>
      </w:r>
      <w:r w:rsidRPr="00506C93">
        <w:rPr>
          <w:sz w:val="24"/>
          <w:szCs w:val="24"/>
        </w:rPr>
        <w:t xml:space="preserve">join, the more likelihood their desired counterparty is already connected resulting in minimum connection cost for members. </w:t>
      </w:r>
      <w:r>
        <w:rPr>
          <w:sz w:val="24"/>
          <w:szCs w:val="24"/>
        </w:rPr>
        <w:t>T</w:t>
      </w:r>
      <w:r w:rsidRPr="00506C93">
        <w:rPr>
          <w:sz w:val="24"/>
          <w:szCs w:val="24"/>
        </w:rPr>
        <w:t>he benefit of standardized connections would save considerable time and effort and result in optimum management of this redundant cost center.</w:t>
      </w:r>
    </w:p>
    <w:p w:rsidR="00415652" w:rsidRPr="00506C93" w:rsidRDefault="00415652" w:rsidP="00415652">
      <w:pPr>
        <w:pStyle w:val="NoSpacing"/>
        <w:rPr>
          <w:b/>
          <w:sz w:val="24"/>
          <w:szCs w:val="24"/>
        </w:rPr>
      </w:pPr>
    </w:p>
    <w:p w:rsidR="00415652" w:rsidRDefault="00415652" w:rsidP="00415652">
      <w:pPr>
        <w:pStyle w:val="NoSpacing"/>
        <w:rPr>
          <w:sz w:val="24"/>
          <w:szCs w:val="24"/>
        </w:rPr>
      </w:pPr>
      <w:r w:rsidRPr="00506C93">
        <w:rPr>
          <w:b/>
          <w:sz w:val="24"/>
          <w:szCs w:val="24"/>
          <w:u w:val="single"/>
        </w:rPr>
        <w:t>Neutrality</w:t>
      </w:r>
      <w:r w:rsidRPr="00506C93">
        <w:rPr>
          <w:b/>
          <w:sz w:val="24"/>
          <w:szCs w:val="24"/>
        </w:rPr>
        <w:t xml:space="preserve"> – </w:t>
      </w:r>
      <w:r w:rsidRPr="00506C93">
        <w:rPr>
          <w:sz w:val="24"/>
          <w:szCs w:val="24"/>
        </w:rPr>
        <w:t xml:space="preserve">Banks are the end-point for virtually all payment </w:t>
      </w:r>
      <w:r w:rsidR="00C720EC" w:rsidRPr="00506C93">
        <w:rPr>
          <w:sz w:val="24"/>
          <w:szCs w:val="24"/>
        </w:rPr>
        <w:t>settlements. As</w:t>
      </w:r>
      <w:r w:rsidRPr="00506C93">
        <w:rPr>
          <w:sz w:val="24"/>
          <w:szCs w:val="24"/>
        </w:rPr>
        <w:t xml:space="preserve"> a result, the banking community is noted for creating a neutral, trusted financial platform for data exchange.</w:t>
      </w:r>
      <w:r w:rsidRPr="00506C93">
        <w:rPr>
          <w:rStyle w:val="EndnoteReference"/>
          <w:rFonts w:cs="Segoe UI"/>
          <w:sz w:val="24"/>
          <w:szCs w:val="24"/>
        </w:rPr>
        <w:endnoteReference w:id="7"/>
      </w:r>
    </w:p>
    <w:p w:rsidR="00415652" w:rsidRPr="00506C93" w:rsidRDefault="00415652" w:rsidP="00415652">
      <w:pPr>
        <w:pStyle w:val="NoSpacing"/>
        <w:rPr>
          <w:b/>
          <w:sz w:val="24"/>
          <w:szCs w:val="24"/>
        </w:rPr>
      </w:pPr>
    </w:p>
    <w:p w:rsidR="00415652" w:rsidRDefault="00415652" w:rsidP="00415652">
      <w:pPr>
        <w:pStyle w:val="NoSpacing"/>
        <w:rPr>
          <w:sz w:val="24"/>
          <w:szCs w:val="24"/>
        </w:rPr>
      </w:pPr>
      <w:r w:rsidRPr="00506C93">
        <w:rPr>
          <w:b/>
          <w:sz w:val="24"/>
          <w:szCs w:val="24"/>
          <w:u w:val="single"/>
        </w:rPr>
        <w:t>Value Added Services</w:t>
      </w:r>
      <w:r w:rsidRPr="00506C93">
        <w:rPr>
          <w:b/>
          <w:sz w:val="24"/>
          <w:szCs w:val="24"/>
        </w:rPr>
        <w:t xml:space="preserve"> –</w:t>
      </w:r>
      <w:r w:rsidRPr="00506C93">
        <w:rPr>
          <w:sz w:val="24"/>
          <w:szCs w:val="24"/>
        </w:rPr>
        <w:t xml:space="preserve"> Since the payments hub would be a "traffic cop" of sorts between healthcare providers, payers, clearinghouses</w:t>
      </w:r>
      <w:r>
        <w:rPr>
          <w:sz w:val="24"/>
          <w:szCs w:val="24"/>
        </w:rPr>
        <w:t>,</w:t>
      </w:r>
      <w:r w:rsidRPr="00506C93">
        <w:rPr>
          <w:sz w:val="24"/>
          <w:szCs w:val="24"/>
        </w:rPr>
        <w:t xml:space="preserve"> and their banks, it </w:t>
      </w:r>
      <w:r>
        <w:rPr>
          <w:sz w:val="24"/>
          <w:szCs w:val="24"/>
        </w:rPr>
        <w:t>could</w:t>
      </w:r>
      <w:r w:rsidRPr="00506C93">
        <w:rPr>
          <w:sz w:val="24"/>
          <w:szCs w:val="24"/>
        </w:rPr>
        <w:t xml:space="preserve"> leverage its position to offer value added services. This would help clearinghouses build their business connection model and provide web-based reporting for transaction research, archiving</w:t>
      </w:r>
      <w:r>
        <w:rPr>
          <w:sz w:val="24"/>
          <w:szCs w:val="24"/>
        </w:rPr>
        <w:t>,</w:t>
      </w:r>
      <w:r w:rsidRPr="00506C93">
        <w:rPr>
          <w:sz w:val="24"/>
          <w:szCs w:val="24"/>
        </w:rPr>
        <w:t xml:space="preserve"> and other services. </w:t>
      </w:r>
    </w:p>
    <w:p w:rsidR="00415652" w:rsidRPr="00506C93" w:rsidRDefault="00415652" w:rsidP="00415652">
      <w:pPr>
        <w:pStyle w:val="NoSpacing"/>
        <w:rPr>
          <w:b/>
          <w:sz w:val="24"/>
          <w:szCs w:val="24"/>
        </w:rPr>
      </w:pPr>
    </w:p>
    <w:p w:rsidR="00415652" w:rsidRPr="00506C93" w:rsidRDefault="00415652" w:rsidP="00415652">
      <w:pPr>
        <w:pStyle w:val="NoSpacing"/>
        <w:rPr>
          <w:b/>
          <w:sz w:val="24"/>
          <w:szCs w:val="24"/>
        </w:rPr>
      </w:pPr>
      <w:r w:rsidRPr="00506C93">
        <w:rPr>
          <w:b/>
          <w:sz w:val="24"/>
          <w:szCs w:val="24"/>
          <w:u w:val="single"/>
        </w:rPr>
        <w:t>Security</w:t>
      </w:r>
      <w:r w:rsidRPr="00506C93">
        <w:rPr>
          <w:b/>
          <w:sz w:val="24"/>
          <w:szCs w:val="24"/>
        </w:rPr>
        <w:t xml:space="preserve"> –</w:t>
      </w:r>
      <w:r w:rsidRPr="00506C93">
        <w:rPr>
          <w:sz w:val="24"/>
          <w:szCs w:val="24"/>
        </w:rPr>
        <w:t xml:space="preserve"> If any industry has the need for robust security, payload capacity, guaranteed message delivery</w:t>
      </w:r>
      <w:r>
        <w:rPr>
          <w:sz w:val="24"/>
          <w:szCs w:val="24"/>
        </w:rPr>
        <w:t>,</w:t>
      </w:r>
      <w:r w:rsidRPr="00506C93">
        <w:rPr>
          <w:sz w:val="24"/>
          <w:szCs w:val="24"/>
        </w:rPr>
        <w:t xml:space="preserve"> and non-repudiation that mimics the trusted global bank backbone, it’s the healthcare industry.</w:t>
      </w:r>
      <w:r w:rsidR="000E50F7">
        <w:rPr>
          <w:sz w:val="24"/>
          <w:szCs w:val="24"/>
        </w:rPr>
        <w:t xml:space="preserve"> </w:t>
      </w:r>
      <w:r w:rsidRPr="00506C93">
        <w:rPr>
          <w:sz w:val="24"/>
          <w:szCs w:val="24"/>
        </w:rPr>
        <w:t xml:space="preserve">Concerns over medical record exchange in the form of payments with remittance detail, lack of standard </w:t>
      </w:r>
      <w:r>
        <w:rPr>
          <w:sz w:val="24"/>
          <w:szCs w:val="24"/>
        </w:rPr>
        <w:t>Personal Health Records (</w:t>
      </w:r>
      <w:hyperlink w:anchor="PHR" w:history="1">
        <w:r w:rsidRPr="007021E4">
          <w:rPr>
            <w:rStyle w:val="Hyperlink"/>
            <w:sz w:val="24"/>
            <w:szCs w:val="24"/>
          </w:rPr>
          <w:t>PHR</w:t>
        </w:r>
      </w:hyperlink>
      <w:r w:rsidRPr="00506C93">
        <w:rPr>
          <w:sz w:val="24"/>
          <w:szCs w:val="24"/>
        </w:rPr>
        <w:t>s</w:t>
      </w:r>
      <w:r>
        <w:rPr>
          <w:sz w:val="24"/>
          <w:szCs w:val="24"/>
        </w:rPr>
        <w:t>)</w:t>
      </w:r>
      <w:r w:rsidRPr="00506C93">
        <w:rPr>
          <w:sz w:val="24"/>
          <w:szCs w:val="24"/>
        </w:rPr>
        <w:t xml:space="preserve">, and the inherent risk of disclosing personal medical </w:t>
      </w:r>
      <w:r>
        <w:rPr>
          <w:sz w:val="24"/>
          <w:szCs w:val="24"/>
        </w:rPr>
        <w:t>details across the Internet, have</w:t>
      </w:r>
      <w:r w:rsidRPr="00506C93">
        <w:rPr>
          <w:sz w:val="24"/>
          <w:szCs w:val="24"/>
        </w:rPr>
        <w:t xml:space="preserve"> plagued any interoperable cross-business exchange. Any solution that reaches meaningful adoption levels will have to address the security and risk of information concerns of all the </w:t>
      </w:r>
      <w:r w:rsidRPr="00506C93">
        <w:rPr>
          <w:sz w:val="24"/>
          <w:szCs w:val="24"/>
        </w:rPr>
        <w:lastRenderedPageBreak/>
        <w:t>counterparties. Secure FTP, Digital Certificates and other methods can be used to secure provider and other connections to the hub.</w:t>
      </w:r>
      <w:r w:rsidR="000E50F7">
        <w:rPr>
          <w:sz w:val="24"/>
          <w:szCs w:val="24"/>
        </w:rPr>
        <w:t xml:space="preserve"> </w:t>
      </w:r>
    </w:p>
    <w:p w:rsidR="00415652" w:rsidRPr="00506C93" w:rsidRDefault="00415652" w:rsidP="00415652">
      <w:pPr>
        <w:pStyle w:val="NoSpacing"/>
        <w:rPr>
          <w:b/>
          <w:sz w:val="24"/>
          <w:szCs w:val="24"/>
        </w:rPr>
      </w:pPr>
    </w:p>
    <w:p w:rsidR="00415652" w:rsidRPr="00506C93" w:rsidRDefault="00E02FC0" w:rsidP="00415652">
      <w:pPr>
        <w:pStyle w:val="NoSpacing"/>
        <w:rPr>
          <w:sz w:val="24"/>
          <w:szCs w:val="24"/>
        </w:rPr>
      </w:pPr>
      <w:r>
        <w:rPr>
          <w:sz w:val="24"/>
          <w:szCs w:val="24"/>
        </w:rPr>
        <w:t>Within the context of financial settlements, and the types of privacy and security safeguards that are routinely used, few environments can surpass the US banking system. External to the US,</w:t>
      </w:r>
      <w:r w:rsidR="000E50F7">
        <w:rPr>
          <w:sz w:val="24"/>
          <w:szCs w:val="24"/>
        </w:rPr>
        <w:t xml:space="preserve"> </w:t>
      </w:r>
      <w:r w:rsidR="00415652" w:rsidRPr="00506C93">
        <w:rPr>
          <w:sz w:val="24"/>
          <w:szCs w:val="24"/>
        </w:rPr>
        <w:t xml:space="preserve">when connecting to banks and major financial exchanges, </w:t>
      </w:r>
      <w:hyperlink w:anchor="SWIFT" w:history="1">
        <w:r w:rsidR="00415652" w:rsidRPr="008940FA">
          <w:rPr>
            <w:rStyle w:val="Hyperlink"/>
            <w:sz w:val="24"/>
            <w:szCs w:val="24"/>
          </w:rPr>
          <w:t>SWIFT</w:t>
        </w:r>
      </w:hyperlink>
      <w:r w:rsidR="00415652" w:rsidRPr="00506C93">
        <w:rPr>
          <w:sz w:val="24"/>
          <w:szCs w:val="24"/>
        </w:rPr>
        <w:t xml:space="preserve"> security is we</w:t>
      </w:r>
      <w:r w:rsidR="00415652">
        <w:rPr>
          <w:sz w:val="24"/>
          <w:szCs w:val="24"/>
        </w:rPr>
        <w:t xml:space="preserve">ll respected. However, </w:t>
      </w:r>
      <w:r>
        <w:rPr>
          <w:sz w:val="24"/>
          <w:szCs w:val="24"/>
        </w:rPr>
        <w:t>regardless of the platform, a comprehensive</w:t>
      </w:r>
      <w:r w:rsidR="000E50F7">
        <w:rPr>
          <w:sz w:val="24"/>
          <w:szCs w:val="24"/>
        </w:rPr>
        <w:t xml:space="preserve"> </w:t>
      </w:r>
      <w:hyperlink w:anchor="HIPAA" w:history="1">
        <w:r w:rsidR="00415652" w:rsidRPr="005016DA">
          <w:rPr>
            <w:rStyle w:val="Hyperlink"/>
            <w:sz w:val="24"/>
            <w:szCs w:val="24"/>
          </w:rPr>
          <w:t>HIPAA</w:t>
        </w:r>
      </w:hyperlink>
      <w:r w:rsidR="00415652" w:rsidRPr="00506C93">
        <w:rPr>
          <w:sz w:val="24"/>
          <w:szCs w:val="24"/>
        </w:rPr>
        <w:t>/</w:t>
      </w:r>
      <w:hyperlink w:anchor="HITECH" w:history="1">
        <w:r w:rsidR="00415652" w:rsidRPr="005016DA">
          <w:rPr>
            <w:rStyle w:val="Hyperlink"/>
            <w:sz w:val="24"/>
            <w:szCs w:val="24"/>
          </w:rPr>
          <w:t>HITECH</w:t>
        </w:r>
      </w:hyperlink>
      <w:r w:rsidR="00415652" w:rsidRPr="00506C93">
        <w:rPr>
          <w:sz w:val="24"/>
          <w:szCs w:val="24"/>
        </w:rPr>
        <w:t xml:space="preserve"> assessment </w:t>
      </w:r>
      <w:r>
        <w:rPr>
          <w:sz w:val="24"/>
          <w:szCs w:val="24"/>
        </w:rPr>
        <w:t>is</w:t>
      </w:r>
      <w:r w:rsidR="000E50F7">
        <w:rPr>
          <w:sz w:val="24"/>
          <w:szCs w:val="24"/>
        </w:rPr>
        <w:t xml:space="preserve"> </w:t>
      </w:r>
      <w:r w:rsidR="00415652" w:rsidRPr="00506C93">
        <w:rPr>
          <w:sz w:val="24"/>
          <w:szCs w:val="24"/>
        </w:rPr>
        <w:t xml:space="preserve">required. </w:t>
      </w:r>
      <w:r w:rsidR="00E43C2A">
        <w:rPr>
          <w:sz w:val="24"/>
          <w:szCs w:val="24"/>
        </w:rPr>
        <w:t>While</w:t>
      </w:r>
      <w:r w:rsidR="000E50F7">
        <w:rPr>
          <w:sz w:val="24"/>
          <w:szCs w:val="24"/>
        </w:rPr>
        <w:t xml:space="preserve"> </w:t>
      </w:r>
      <w:hyperlink w:anchor="SWIFT" w:history="1">
        <w:r w:rsidR="00415652" w:rsidRPr="008940FA">
          <w:rPr>
            <w:rStyle w:val="Hyperlink"/>
            <w:sz w:val="24"/>
            <w:szCs w:val="24"/>
          </w:rPr>
          <w:t>SWIFT</w:t>
        </w:r>
      </w:hyperlink>
      <w:r w:rsidR="00415652" w:rsidRPr="00506C93">
        <w:rPr>
          <w:sz w:val="24"/>
          <w:szCs w:val="24"/>
        </w:rPr>
        <w:t xml:space="preserve"> has reportedly never lost a message </w:t>
      </w:r>
      <w:r w:rsidR="00E43C2A">
        <w:rPr>
          <w:sz w:val="24"/>
          <w:szCs w:val="24"/>
        </w:rPr>
        <w:t>(</w:t>
      </w:r>
      <w:r w:rsidR="00415652" w:rsidRPr="00506C93">
        <w:rPr>
          <w:sz w:val="24"/>
          <w:szCs w:val="24"/>
        </w:rPr>
        <w:t xml:space="preserve">and </w:t>
      </w:r>
      <w:r w:rsidR="00415652">
        <w:rPr>
          <w:sz w:val="24"/>
          <w:szCs w:val="24"/>
        </w:rPr>
        <w:t xml:space="preserve">none have </w:t>
      </w:r>
      <w:r w:rsidR="00415652" w:rsidRPr="00506C93">
        <w:rPr>
          <w:sz w:val="24"/>
          <w:szCs w:val="24"/>
        </w:rPr>
        <w:t>ever been intercepted by a non-member third party</w:t>
      </w:r>
      <w:r w:rsidR="00E43C2A">
        <w:rPr>
          <w:sz w:val="24"/>
          <w:szCs w:val="24"/>
        </w:rPr>
        <w:t xml:space="preserve">), it would need to, as with any financial platform, provide evidence that </w:t>
      </w:r>
      <w:r>
        <w:rPr>
          <w:sz w:val="24"/>
          <w:szCs w:val="24"/>
        </w:rPr>
        <w:t xml:space="preserve">its use </w:t>
      </w:r>
      <w:r w:rsidR="00E43C2A">
        <w:rPr>
          <w:sz w:val="24"/>
          <w:szCs w:val="24"/>
        </w:rPr>
        <w:t xml:space="preserve">is satisfactory to the healthcare stakeholders. It will need to </w:t>
      </w:r>
      <w:r>
        <w:rPr>
          <w:sz w:val="24"/>
          <w:szCs w:val="24"/>
        </w:rPr>
        <w:t>demonstrate</w:t>
      </w:r>
      <w:r w:rsidR="000E50F7">
        <w:rPr>
          <w:sz w:val="24"/>
          <w:szCs w:val="24"/>
        </w:rPr>
        <w:t xml:space="preserve"> </w:t>
      </w:r>
      <w:r>
        <w:rPr>
          <w:sz w:val="24"/>
          <w:szCs w:val="24"/>
        </w:rPr>
        <w:t xml:space="preserve">that it uses, at a minimum, the </w:t>
      </w:r>
      <w:hyperlink w:anchor="HIPAA" w:history="1">
        <w:r w:rsidRPr="005016DA">
          <w:rPr>
            <w:rStyle w:val="Hyperlink"/>
            <w:sz w:val="24"/>
            <w:szCs w:val="24"/>
          </w:rPr>
          <w:t>HIPAA</w:t>
        </w:r>
      </w:hyperlink>
      <w:r>
        <w:rPr>
          <w:sz w:val="24"/>
          <w:szCs w:val="24"/>
        </w:rPr>
        <w:t>-specified standards around</w:t>
      </w:r>
      <w:r w:rsidR="000E50F7">
        <w:rPr>
          <w:sz w:val="24"/>
          <w:szCs w:val="24"/>
        </w:rPr>
        <w:t xml:space="preserve"> </w:t>
      </w:r>
      <w:r w:rsidR="00415652" w:rsidRPr="00506C93">
        <w:rPr>
          <w:sz w:val="24"/>
          <w:szCs w:val="24"/>
        </w:rPr>
        <w:t>securit</w:t>
      </w:r>
      <w:r w:rsidR="00E43C2A">
        <w:rPr>
          <w:sz w:val="24"/>
          <w:szCs w:val="24"/>
        </w:rPr>
        <w:t>y and</w:t>
      </w:r>
      <w:r w:rsidR="000E50F7">
        <w:rPr>
          <w:sz w:val="24"/>
          <w:szCs w:val="24"/>
        </w:rPr>
        <w:t xml:space="preserve"> </w:t>
      </w:r>
      <w:r w:rsidR="00415652" w:rsidRPr="00506C93">
        <w:rPr>
          <w:sz w:val="24"/>
          <w:szCs w:val="24"/>
        </w:rPr>
        <w:t>data delivery</w:t>
      </w:r>
      <w:r w:rsidR="00E43C2A">
        <w:rPr>
          <w:sz w:val="24"/>
          <w:szCs w:val="24"/>
        </w:rPr>
        <w:t xml:space="preserve">. </w:t>
      </w:r>
      <w:r>
        <w:rPr>
          <w:sz w:val="24"/>
          <w:szCs w:val="24"/>
        </w:rPr>
        <w:t xml:space="preserve">This will help to speed adoption of prospective </w:t>
      </w:r>
      <w:hyperlink w:anchor="STP" w:history="1">
        <w:r w:rsidRPr="00425E01">
          <w:rPr>
            <w:rStyle w:val="Hyperlink"/>
            <w:sz w:val="24"/>
            <w:szCs w:val="24"/>
          </w:rPr>
          <w:t>STP</w:t>
        </w:r>
      </w:hyperlink>
      <w:r>
        <w:rPr>
          <w:sz w:val="24"/>
          <w:szCs w:val="24"/>
        </w:rPr>
        <w:t xml:space="preserve"> business practices. </w:t>
      </w:r>
    </w:p>
    <w:p w:rsidR="00415652" w:rsidRPr="00506C93" w:rsidRDefault="00415652" w:rsidP="00415652">
      <w:pPr>
        <w:pStyle w:val="NoSpacing"/>
        <w:rPr>
          <w:sz w:val="24"/>
          <w:szCs w:val="24"/>
        </w:rPr>
      </w:pPr>
    </w:p>
    <w:p w:rsidR="00415652" w:rsidRDefault="00415652" w:rsidP="00415652">
      <w:pPr>
        <w:pStyle w:val="NoSpacing"/>
        <w:rPr>
          <w:sz w:val="24"/>
          <w:szCs w:val="24"/>
        </w:rPr>
      </w:pPr>
      <w:r w:rsidRPr="00506C93">
        <w:rPr>
          <w:sz w:val="24"/>
          <w:szCs w:val="24"/>
        </w:rPr>
        <w:t xml:space="preserve">Financial institutions will naturally have different risk tolerances and </w:t>
      </w:r>
      <w:r>
        <w:rPr>
          <w:sz w:val="24"/>
          <w:szCs w:val="24"/>
        </w:rPr>
        <w:t>therefore differing</w:t>
      </w:r>
      <w:r w:rsidRPr="00506C93">
        <w:rPr>
          <w:sz w:val="24"/>
          <w:szCs w:val="24"/>
        </w:rPr>
        <w:t xml:space="preserve"> business offerings to healthcare. Their risk tolerance will drive whether they want to be involved in strict financial settlement or in other value added se</w:t>
      </w:r>
      <w:r>
        <w:rPr>
          <w:sz w:val="24"/>
          <w:szCs w:val="24"/>
        </w:rPr>
        <w:t xml:space="preserve">rvices to healthcare that may deem them </w:t>
      </w:r>
      <w:r w:rsidRPr="00506C93">
        <w:rPr>
          <w:sz w:val="24"/>
          <w:szCs w:val="24"/>
        </w:rPr>
        <w:t>“Business Associates”</w:t>
      </w:r>
      <w:r w:rsidR="00E02FC0">
        <w:rPr>
          <w:sz w:val="24"/>
          <w:szCs w:val="24"/>
        </w:rPr>
        <w:t xml:space="preserve"> and “Covered Entities” that are</w:t>
      </w:r>
      <w:r w:rsidR="000E50F7">
        <w:rPr>
          <w:sz w:val="24"/>
          <w:szCs w:val="24"/>
        </w:rPr>
        <w:t xml:space="preserve"> </w:t>
      </w:r>
      <w:r w:rsidRPr="00506C93">
        <w:rPr>
          <w:sz w:val="24"/>
          <w:szCs w:val="24"/>
        </w:rPr>
        <w:t xml:space="preserve">subject to </w:t>
      </w:r>
      <w:r w:rsidR="00E02FC0">
        <w:rPr>
          <w:sz w:val="24"/>
          <w:szCs w:val="24"/>
        </w:rPr>
        <w:t xml:space="preserve">the </w:t>
      </w:r>
      <w:hyperlink w:anchor="HIPAA" w:history="1">
        <w:r w:rsidRPr="005016DA">
          <w:rPr>
            <w:rStyle w:val="Hyperlink"/>
            <w:sz w:val="24"/>
            <w:szCs w:val="24"/>
          </w:rPr>
          <w:t>HIPAA</w:t>
        </w:r>
      </w:hyperlink>
      <w:r w:rsidR="00E02FC0">
        <w:rPr>
          <w:sz w:val="24"/>
          <w:szCs w:val="24"/>
        </w:rPr>
        <w:t xml:space="preserve"> and </w:t>
      </w:r>
      <w:hyperlink w:anchor="HITECH" w:history="1">
        <w:r w:rsidRPr="005016DA">
          <w:rPr>
            <w:rStyle w:val="Hyperlink"/>
            <w:sz w:val="24"/>
            <w:szCs w:val="24"/>
          </w:rPr>
          <w:t>HITECH</w:t>
        </w:r>
      </w:hyperlink>
      <w:r w:rsidR="0029408B">
        <w:rPr>
          <w:sz w:val="24"/>
          <w:szCs w:val="24"/>
        </w:rPr>
        <w:t xml:space="preserve"> </w:t>
      </w:r>
      <w:r>
        <w:rPr>
          <w:sz w:val="24"/>
          <w:szCs w:val="24"/>
        </w:rPr>
        <w:t>regulations.</w:t>
      </w:r>
    </w:p>
    <w:p w:rsidR="00415652" w:rsidRPr="00506C93" w:rsidRDefault="00415652" w:rsidP="00415652">
      <w:pPr>
        <w:pStyle w:val="NoSpacing"/>
        <w:rPr>
          <w:sz w:val="24"/>
          <w:szCs w:val="24"/>
        </w:rPr>
      </w:pPr>
    </w:p>
    <w:p w:rsidR="00415652" w:rsidRDefault="00415652" w:rsidP="00415652">
      <w:pPr>
        <w:pStyle w:val="NoSpacing"/>
        <w:rPr>
          <w:rFonts w:cs="Segoe UI"/>
          <w:sz w:val="24"/>
          <w:szCs w:val="24"/>
        </w:rPr>
      </w:pPr>
      <w:r w:rsidRPr="00506C93">
        <w:rPr>
          <w:rFonts w:cs="Segoe UI"/>
          <w:b/>
          <w:sz w:val="24"/>
          <w:szCs w:val="24"/>
          <w:u w:val="single"/>
        </w:rPr>
        <w:t>Standards without Standards</w:t>
      </w:r>
      <w:r w:rsidRPr="00506C93">
        <w:rPr>
          <w:rFonts w:cs="Segoe UI"/>
          <w:b/>
          <w:sz w:val="24"/>
          <w:szCs w:val="24"/>
        </w:rPr>
        <w:t xml:space="preserve"> –</w:t>
      </w:r>
      <w:r w:rsidRPr="00506C93">
        <w:rPr>
          <w:rFonts w:cs="Segoe UI"/>
          <w:sz w:val="24"/>
          <w:szCs w:val="24"/>
        </w:rPr>
        <w:t xml:space="preserve"> The global banking industry has spent years laying the groundwork for global standard messages. Connected counterparties can process global standard payment, detailed bank statements</w:t>
      </w:r>
      <w:r>
        <w:rPr>
          <w:rFonts w:cs="Segoe UI"/>
          <w:sz w:val="24"/>
          <w:szCs w:val="24"/>
        </w:rPr>
        <w:t>,</w:t>
      </w:r>
      <w:r w:rsidRPr="00506C93">
        <w:rPr>
          <w:rFonts w:cs="Segoe UI"/>
          <w:sz w:val="24"/>
          <w:szCs w:val="24"/>
        </w:rPr>
        <w:t xml:space="preserve"> and man</w:t>
      </w:r>
      <w:r>
        <w:rPr>
          <w:rFonts w:cs="Segoe UI"/>
          <w:sz w:val="24"/>
          <w:szCs w:val="24"/>
        </w:rPr>
        <w:t>y other financial messages on a</w:t>
      </w:r>
    </w:p>
    <w:p w:rsidR="00415652" w:rsidRPr="00506C93" w:rsidRDefault="00415652" w:rsidP="00415652">
      <w:pPr>
        <w:pStyle w:val="NoSpacing"/>
        <w:rPr>
          <w:rFonts w:cs="Segoe UI"/>
          <w:b/>
          <w:sz w:val="24"/>
          <w:szCs w:val="24"/>
        </w:rPr>
      </w:pPr>
      <w:r w:rsidRPr="00506C93">
        <w:rPr>
          <w:rFonts w:cs="Segoe UI"/>
          <w:sz w:val="24"/>
          <w:szCs w:val="24"/>
        </w:rPr>
        <w:t xml:space="preserve">trusted and secure information highway. The evolving </w:t>
      </w:r>
      <w:hyperlink w:anchor="ISO" w:history="1">
        <w:r w:rsidRPr="00A47144">
          <w:rPr>
            <w:rStyle w:val="Hyperlink"/>
            <w:rFonts w:cs="Segoe UI"/>
            <w:sz w:val="24"/>
            <w:szCs w:val="24"/>
          </w:rPr>
          <w:t>ISO</w:t>
        </w:r>
      </w:hyperlink>
      <w:r w:rsidRPr="00506C93">
        <w:rPr>
          <w:rFonts w:cs="Segoe UI"/>
          <w:sz w:val="24"/>
          <w:szCs w:val="24"/>
        </w:rPr>
        <w:t xml:space="preserve"> standards for </w:t>
      </w:r>
      <w:hyperlink w:anchor="XMLXBRL" w:history="1">
        <w:r w:rsidRPr="002F7E37">
          <w:rPr>
            <w:rStyle w:val="Hyperlink"/>
            <w:rFonts w:cs="Segoe UI"/>
            <w:sz w:val="24"/>
            <w:szCs w:val="24"/>
          </w:rPr>
          <w:t>XML</w:t>
        </w:r>
      </w:hyperlink>
      <w:r w:rsidRPr="00506C93">
        <w:rPr>
          <w:rFonts w:cs="Segoe UI"/>
          <w:sz w:val="24"/>
          <w:szCs w:val="24"/>
        </w:rPr>
        <w:t xml:space="preserve"> tagging (and </w:t>
      </w:r>
      <w:hyperlink w:anchor="XMLXBRL" w:history="1">
        <w:r w:rsidRPr="002F7E37">
          <w:rPr>
            <w:rStyle w:val="Hyperlink"/>
            <w:rFonts w:cs="Segoe UI"/>
            <w:sz w:val="24"/>
            <w:szCs w:val="24"/>
          </w:rPr>
          <w:t>XBRL</w:t>
        </w:r>
      </w:hyperlink>
      <w:r w:rsidRPr="00506C93">
        <w:rPr>
          <w:rFonts w:cs="Segoe UI"/>
          <w:sz w:val="24"/>
          <w:szCs w:val="24"/>
        </w:rPr>
        <w:t xml:space="preserve">) are useful in taking the documents that describe relationships between business counterparties and allowing technology to apply them dynamically in a settlement of claim use case. </w:t>
      </w:r>
    </w:p>
    <w:p w:rsidR="00415652" w:rsidRPr="00506C93" w:rsidRDefault="00415652" w:rsidP="00415652">
      <w:pPr>
        <w:pStyle w:val="NoSpacing"/>
        <w:rPr>
          <w:sz w:val="24"/>
          <w:szCs w:val="24"/>
        </w:rPr>
      </w:pPr>
    </w:p>
    <w:p w:rsidR="00415652" w:rsidRPr="00506C93" w:rsidRDefault="00415652" w:rsidP="00415652">
      <w:pPr>
        <w:pStyle w:val="NoSpacing"/>
        <w:rPr>
          <w:sz w:val="24"/>
          <w:szCs w:val="24"/>
        </w:rPr>
      </w:pPr>
      <w:r>
        <w:rPr>
          <w:sz w:val="24"/>
          <w:szCs w:val="24"/>
        </w:rPr>
        <w:t>In healthcare, evolving</w:t>
      </w:r>
      <w:r w:rsidRPr="00506C93">
        <w:rPr>
          <w:sz w:val="24"/>
          <w:szCs w:val="24"/>
        </w:rPr>
        <w:t xml:space="preserve"> standards and complexity is a larger problem.</w:t>
      </w:r>
      <w:r w:rsidR="000E50F7">
        <w:rPr>
          <w:sz w:val="24"/>
          <w:szCs w:val="24"/>
        </w:rPr>
        <w:t xml:space="preserve"> </w:t>
      </w:r>
      <w:r w:rsidRPr="00506C93">
        <w:rPr>
          <w:sz w:val="24"/>
          <w:szCs w:val="24"/>
        </w:rPr>
        <w:t>Consider that within the area of electronic health records, there are</w:t>
      </w:r>
      <w:r w:rsidR="0029408B">
        <w:rPr>
          <w:sz w:val="24"/>
          <w:szCs w:val="24"/>
        </w:rPr>
        <w:t xml:space="preserve"> a number of emerging standards </w:t>
      </w:r>
      <w:r>
        <w:rPr>
          <w:sz w:val="24"/>
          <w:szCs w:val="24"/>
        </w:rPr>
        <w:t>such as</w:t>
      </w:r>
      <w:r w:rsidR="0029408B">
        <w:rPr>
          <w:sz w:val="24"/>
          <w:szCs w:val="24"/>
        </w:rPr>
        <w:t xml:space="preserve"> </w:t>
      </w:r>
      <w:hyperlink w:anchor="CCR" w:history="1">
        <w:r w:rsidRPr="00B7289A">
          <w:rPr>
            <w:rStyle w:val="Hyperlink"/>
            <w:sz w:val="24"/>
            <w:szCs w:val="24"/>
          </w:rPr>
          <w:t>CCR</w:t>
        </w:r>
      </w:hyperlink>
      <w:r w:rsidRPr="00506C93">
        <w:rPr>
          <w:sz w:val="24"/>
          <w:szCs w:val="24"/>
        </w:rPr>
        <w:t xml:space="preserve">, </w:t>
      </w:r>
      <w:hyperlink w:anchor="CCD" w:history="1">
        <w:r w:rsidRPr="00B7289A">
          <w:rPr>
            <w:rStyle w:val="Hyperlink"/>
            <w:sz w:val="24"/>
            <w:szCs w:val="24"/>
          </w:rPr>
          <w:t>CCD</w:t>
        </w:r>
      </w:hyperlink>
      <w:r w:rsidRPr="00506C93">
        <w:rPr>
          <w:sz w:val="24"/>
          <w:szCs w:val="24"/>
        </w:rPr>
        <w:t xml:space="preserve">, </w:t>
      </w:r>
      <w:r>
        <w:rPr>
          <w:sz w:val="24"/>
          <w:szCs w:val="24"/>
        </w:rPr>
        <w:t xml:space="preserve">and </w:t>
      </w:r>
      <w:hyperlink w:anchor="ISO" w:history="1">
        <w:r w:rsidRPr="00A47144">
          <w:rPr>
            <w:rStyle w:val="Hyperlink"/>
            <w:sz w:val="24"/>
            <w:szCs w:val="24"/>
          </w:rPr>
          <w:t>ISO</w:t>
        </w:r>
      </w:hyperlink>
      <w:r w:rsidR="0029408B">
        <w:rPr>
          <w:sz w:val="24"/>
          <w:szCs w:val="24"/>
        </w:rPr>
        <w:t xml:space="preserve"> </w:t>
      </w:r>
      <w:r w:rsidRPr="00506C93">
        <w:rPr>
          <w:sz w:val="24"/>
          <w:szCs w:val="24"/>
        </w:rPr>
        <w:t>13606</w:t>
      </w:r>
      <w:r>
        <w:rPr>
          <w:sz w:val="24"/>
          <w:szCs w:val="24"/>
        </w:rPr>
        <w:t>. Furthermore payer-specific variations remain within the 837 and 835</w:t>
      </w:r>
      <w:r w:rsidRPr="00506C93">
        <w:rPr>
          <w:sz w:val="24"/>
          <w:szCs w:val="24"/>
        </w:rPr>
        <w:t xml:space="preserve">standards. Given this reality, </w:t>
      </w:r>
      <w:r w:rsidR="00E02FC0">
        <w:rPr>
          <w:sz w:val="24"/>
          <w:szCs w:val="24"/>
        </w:rPr>
        <w:t xml:space="preserve">it may be that there are trading partner nuances that need to be “baked” into the transactional ecosystem (i.e., for example, note the large amount of companion guides in the claim process). While having a standard is clearly in the best interest of the healthcare stakeholders, there are some exchanges of information that may </w:t>
      </w:r>
      <w:r w:rsidRPr="00506C93">
        <w:rPr>
          <w:sz w:val="24"/>
          <w:szCs w:val="24"/>
        </w:rPr>
        <w:t>benefit from</w:t>
      </w:r>
      <w:r w:rsidR="000E50F7">
        <w:rPr>
          <w:sz w:val="24"/>
          <w:szCs w:val="24"/>
        </w:rPr>
        <w:t xml:space="preserve"> </w:t>
      </w:r>
      <w:r w:rsidRPr="00506C93">
        <w:rPr>
          <w:sz w:val="24"/>
          <w:szCs w:val="24"/>
        </w:rPr>
        <w:t xml:space="preserve">transfers </w:t>
      </w:r>
      <w:r w:rsidR="00E02FC0">
        <w:rPr>
          <w:sz w:val="24"/>
          <w:szCs w:val="24"/>
        </w:rPr>
        <w:t xml:space="preserve">of </w:t>
      </w:r>
      <w:r w:rsidRPr="00506C93">
        <w:rPr>
          <w:sz w:val="24"/>
          <w:szCs w:val="24"/>
        </w:rPr>
        <w:t xml:space="preserve">payments and data without a standard message type, in a format </w:t>
      </w:r>
      <w:r w:rsidR="00BA2A31">
        <w:rPr>
          <w:sz w:val="24"/>
          <w:szCs w:val="24"/>
        </w:rPr>
        <w:t xml:space="preserve">that </w:t>
      </w:r>
      <w:r w:rsidRPr="00506C93">
        <w:rPr>
          <w:sz w:val="24"/>
          <w:szCs w:val="24"/>
        </w:rPr>
        <w:t xml:space="preserve">the correspondents agree to, while still offering the security, audit, guaranteed </w:t>
      </w:r>
      <w:r w:rsidR="0029408B" w:rsidRPr="00506C93">
        <w:rPr>
          <w:sz w:val="24"/>
          <w:szCs w:val="24"/>
        </w:rPr>
        <w:t>delivery, and</w:t>
      </w:r>
      <w:r w:rsidRPr="00506C93">
        <w:rPr>
          <w:sz w:val="24"/>
          <w:szCs w:val="24"/>
        </w:rPr>
        <w:t xml:space="preserve"> banking system integration benefits. </w:t>
      </w:r>
    </w:p>
    <w:p w:rsidR="00415652" w:rsidRPr="00506C93" w:rsidRDefault="00415652" w:rsidP="00415652">
      <w:pPr>
        <w:pStyle w:val="NoSpacing"/>
        <w:rPr>
          <w:sz w:val="24"/>
          <w:szCs w:val="24"/>
        </w:rPr>
      </w:pPr>
    </w:p>
    <w:p w:rsidR="00415652" w:rsidRPr="00506C93" w:rsidRDefault="00415652" w:rsidP="00415652">
      <w:pPr>
        <w:pStyle w:val="NoSpacing"/>
        <w:rPr>
          <w:sz w:val="24"/>
          <w:szCs w:val="24"/>
        </w:rPr>
      </w:pPr>
      <w:r w:rsidRPr="00506C93">
        <w:rPr>
          <w:sz w:val="24"/>
          <w:szCs w:val="24"/>
        </w:rPr>
        <w:t>In proposing a payments hub that offers a standard and reusable transport, robust security</w:t>
      </w:r>
      <w:r>
        <w:rPr>
          <w:sz w:val="24"/>
          <w:szCs w:val="24"/>
        </w:rPr>
        <w:t>,</w:t>
      </w:r>
      <w:r w:rsidRPr="00506C93">
        <w:rPr>
          <w:sz w:val="24"/>
          <w:szCs w:val="24"/>
        </w:rPr>
        <w:t xml:space="preserve"> and routing and delivery, we envision the first ever platform for universal healthcare payments exchange. This effort would be analogous to defining an international shipping and payment process. So for the payments hub, we would </w:t>
      </w:r>
      <w:r w:rsidR="00E02FC0">
        <w:rPr>
          <w:sz w:val="24"/>
          <w:szCs w:val="24"/>
        </w:rPr>
        <w:t xml:space="preserve">suggest </w:t>
      </w:r>
      <w:r w:rsidRPr="00506C93">
        <w:rPr>
          <w:sz w:val="24"/>
          <w:szCs w:val="24"/>
        </w:rPr>
        <w:t>not</w:t>
      </w:r>
      <w:r>
        <w:rPr>
          <w:sz w:val="24"/>
          <w:szCs w:val="24"/>
        </w:rPr>
        <w:t xml:space="preserve"> prescrib</w:t>
      </w:r>
      <w:r w:rsidR="00E02FC0">
        <w:rPr>
          <w:sz w:val="24"/>
          <w:szCs w:val="24"/>
        </w:rPr>
        <w:t>ing</w:t>
      </w:r>
      <w:r>
        <w:rPr>
          <w:sz w:val="24"/>
          <w:szCs w:val="24"/>
        </w:rPr>
        <w:t xml:space="preserve"> everything inside </w:t>
      </w:r>
      <w:r w:rsidRPr="00506C93">
        <w:rPr>
          <w:sz w:val="24"/>
          <w:szCs w:val="24"/>
        </w:rPr>
        <w:t xml:space="preserve">the “shipping container” but rather leave that to competitive market forces and bi-lateral agreements between </w:t>
      </w:r>
      <w:r>
        <w:rPr>
          <w:sz w:val="24"/>
          <w:szCs w:val="24"/>
        </w:rPr>
        <w:t>trading partners</w:t>
      </w:r>
      <w:r w:rsidR="00E02FC0">
        <w:rPr>
          <w:sz w:val="24"/>
          <w:szCs w:val="24"/>
        </w:rPr>
        <w:t>, and/or legislative fiat (as in the US with version 5010 of the health data transactions)</w:t>
      </w:r>
    </w:p>
    <w:p w:rsidR="00415652" w:rsidRPr="00506C93" w:rsidRDefault="00415652" w:rsidP="00415652">
      <w:pPr>
        <w:pStyle w:val="NoSpacing"/>
        <w:rPr>
          <w:sz w:val="24"/>
          <w:szCs w:val="24"/>
        </w:rPr>
      </w:pPr>
    </w:p>
    <w:p w:rsidR="00415652" w:rsidRDefault="00415652" w:rsidP="00415652">
      <w:pPr>
        <w:pStyle w:val="NoSpacing"/>
        <w:rPr>
          <w:sz w:val="24"/>
          <w:szCs w:val="24"/>
        </w:rPr>
      </w:pPr>
      <w:r w:rsidRPr="00506C93">
        <w:rPr>
          <w:sz w:val="24"/>
          <w:szCs w:val="24"/>
        </w:rPr>
        <w:lastRenderedPageBreak/>
        <w:t>The</w:t>
      </w:r>
      <w:r w:rsidR="00BA2A31">
        <w:rPr>
          <w:sz w:val="24"/>
          <w:szCs w:val="24"/>
        </w:rPr>
        <w:t xml:space="preserve"> next section provides a pilot design. This</w:t>
      </w:r>
      <w:r w:rsidRPr="00506C93">
        <w:rPr>
          <w:sz w:val="24"/>
          <w:szCs w:val="24"/>
        </w:rPr>
        <w:t xml:space="preserve"> pilot design focus would instead create the equivalent of standard tags and container sizes for loading export commodities on</w:t>
      </w:r>
      <w:r>
        <w:rPr>
          <w:sz w:val="24"/>
          <w:szCs w:val="24"/>
        </w:rPr>
        <w:t>to</w:t>
      </w:r>
      <w:r w:rsidRPr="00506C93">
        <w:rPr>
          <w:sz w:val="24"/>
          <w:szCs w:val="24"/>
        </w:rPr>
        <w:t xml:space="preserve"> ships through the</w:t>
      </w:r>
      <w:r>
        <w:rPr>
          <w:sz w:val="24"/>
          <w:szCs w:val="24"/>
        </w:rPr>
        <w:t xml:space="preserve">ir </w:t>
      </w:r>
      <w:r w:rsidRPr="00506C93">
        <w:rPr>
          <w:sz w:val="24"/>
          <w:szCs w:val="24"/>
        </w:rPr>
        <w:t>port</w:t>
      </w:r>
      <w:r>
        <w:rPr>
          <w:sz w:val="24"/>
          <w:szCs w:val="24"/>
        </w:rPr>
        <w:t>s of call</w:t>
      </w:r>
      <w:r w:rsidRPr="00506C93">
        <w:rPr>
          <w:sz w:val="24"/>
          <w:szCs w:val="24"/>
        </w:rPr>
        <w:t>.</w:t>
      </w:r>
      <w:r w:rsidR="000E50F7">
        <w:rPr>
          <w:sz w:val="24"/>
          <w:szCs w:val="24"/>
        </w:rPr>
        <w:t xml:space="preserve"> </w:t>
      </w:r>
      <w:r w:rsidRPr="00506C93">
        <w:rPr>
          <w:sz w:val="24"/>
          <w:szCs w:val="24"/>
        </w:rPr>
        <w:t>The container shape, size, construction, loading and unloading hooks</w:t>
      </w:r>
      <w:r>
        <w:rPr>
          <w:sz w:val="24"/>
          <w:szCs w:val="24"/>
        </w:rPr>
        <w:t>,</w:t>
      </w:r>
      <w:r w:rsidRPr="00506C93">
        <w:rPr>
          <w:sz w:val="24"/>
          <w:szCs w:val="24"/>
        </w:rPr>
        <w:t xml:space="preserve"> and secure transport regulations around them would be standardized while the content within them </w:t>
      </w:r>
      <w:r>
        <w:rPr>
          <w:sz w:val="24"/>
          <w:szCs w:val="24"/>
        </w:rPr>
        <w:t xml:space="preserve">could still vary. In this way, </w:t>
      </w:r>
      <w:r w:rsidRPr="00506C93">
        <w:rPr>
          <w:sz w:val="24"/>
          <w:szCs w:val="24"/>
        </w:rPr>
        <w:t xml:space="preserve">the </w:t>
      </w:r>
      <w:r>
        <w:rPr>
          <w:sz w:val="24"/>
          <w:szCs w:val="24"/>
        </w:rPr>
        <w:t xml:space="preserve">trading partners (e.g., provider and payer) could </w:t>
      </w:r>
      <w:r w:rsidRPr="00506C93">
        <w:rPr>
          <w:sz w:val="24"/>
          <w:szCs w:val="24"/>
        </w:rPr>
        <w:t xml:space="preserve">use their own business relationship </w:t>
      </w:r>
      <w:r w:rsidR="0029408B" w:rsidRPr="00506C93">
        <w:rPr>
          <w:sz w:val="24"/>
          <w:szCs w:val="24"/>
        </w:rPr>
        <w:t>agreements and</w:t>
      </w:r>
      <w:r w:rsidRPr="00506C93">
        <w:rPr>
          <w:sz w:val="24"/>
          <w:szCs w:val="24"/>
        </w:rPr>
        <w:t xml:space="preserve"> settlement networks to drive t</w:t>
      </w:r>
      <w:r>
        <w:rPr>
          <w:sz w:val="24"/>
          <w:szCs w:val="24"/>
        </w:rPr>
        <w:t>he format requirements they require</w:t>
      </w:r>
      <w:r w:rsidRPr="00506C93">
        <w:rPr>
          <w:sz w:val="24"/>
          <w:szCs w:val="24"/>
        </w:rPr>
        <w:t>.</w:t>
      </w:r>
    </w:p>
    <w:p w:rsidR="005C6893" w:rsidRDefault="00F1105A" w:rsidP="00536651">
      <w:pPr>
        <w:pStyle w:val="Heading1"/>
      </w:pPr>
      <w:bookmarkStart w:id="25" w:name="_Toc345348392"/>
      <w:r>
        <w:t>Recommendation</w:t>
      </w:r>
      <w:bookmarkEnd w:id="25"/>
    </w:p>
    <w:p w:rsidR="00536651" w:rsidRPr="00F20203" w:rsidRDefault="00536651" w:rsidP="00536651">
      <w:pPr>
        <w:rPr>
          <w:sz w:val="24"/>
          <w:szCs w:val="24"/>
        </w:rPr>
      </w:pPr>
      <w:r w:rsidRPr="00F20203">
        <w:rPr>
          <w:sz w:val="24"/>
          <w:szCs w:val="24"/>
        </w:rPr>
        <w:t xml:space="preserve">A recommendation based on the current opportunity is provided in this section, followed by </w:t>
      </w:r>
      <w:r w:rsidR="000E50F7">
        <w:rPr>
          <w:sz w:val="24"/>
          <w:szCs w:val="24"/>
        </w:rPr>
        <w:t>the description of a</w:t>
      </w:r>
      <w:r w:rsidRPr="00F20203">
        <w:rPr>
          <w:sz w:val="24"/>
          <w:szCs w:val="24"/>
        </w:rPr>
        <w:t xml:space="preserve"> pilot program </w:t>
      </w:r>
      <w:r w:rsidR="00E02FC0">
        <w:rPr>
          <w:sz w:val="24"/>
          <w:szCs w:val="24"/>
        </w:rPr>
        <w:t xml:space="preserve">that can demonstrate a stakeholder-wide value proposition. </w:t>
      </w:r>
    </w:p>
    <w:p w:rsidR="005C6893" w:rsidRPr="00444B80" w:rsidRDefault="005C6893" w:rsidP="0032160B">
      <w:pPr>
        <w:pStyle w:val="Heading2"/>
        <w:rPr>
          <w:color w:val="FF0000"/>
        </w:rPr>
      </w:pPr>
      <w:bookmarkStart w:id="26" w:name="_Toc345348393"/>
      <w:r w:rsidRPr="00087288">
        <w:t>A Demonstration Desig</w:t>
      </w:r>
      <w:r w:rsidR="006735C8">
        <w:t>n</w:t>
      </w:r>
      <w:bookmarkEnd w:id="26"/>
    </w:p>
    <w:p w:rsidR="005C6893" w:rsidRPr="00E02FC0" w:rsidRDefault="005C6893" w:rsidP="005C6893">
      <w:pPr>
        <w:pStyle w:val="NoSpacing"/>
        <w:rPr>
          <w:rStyle w:val="st1"/>
          <w:sz w:val="24"/>
          <w:szCs w:val="24"/>
        </w:rPr>
      </w:pPr>
      <w:r w:rsidRPr="00212D00">
        <w:rPr>
          <w:sz w:val="24"/>
          <w:szCs w:val="24"/>
        </w:rPr>
        <w:t xml:space="preserve">Since the main efficiency problems </w:t>
      </w:r>
      <w:r w:rsidR="00E02FC0">
        <w:rPr>
          <w:sz w:val="24"/>
          <w:szCs w:val="24"/>
        </w:rPr>
        <w:t xml:space="preserve">in the healthcare payments value chain </w:t>
      </w:r>
      <w:r w:rsidRPr="00212D00">
        <w:rPr>
          <w:sz w:val="24"/>
          <w:szCs w:val="24"/>
        </w:rPr>
        <w:t xml:space="preserve">have yet to be solved, </w:t>
      </w:r>
      <w:r w:rsidR="00E02FC0">
        <w:rPr>
          <w:sz w:val="24"/>
          <w:szCs w:val="24"/>
        </w:rPr>
        <w:t xml:space="preserve">there may be </w:t>
      </w:r>
      <w:r w:rsidRPr="00212D00">
        <w:rPr>
          <w:sz w:val="24"/>
          <w:szCs w:val="24"/>
        </w:rPr>
        <w:t xml:space="preserve">a place for a </w:t>
      </w:r>
      <w:r w:rsidR="00E02FC0">
        <w:rPr>
          <w:sz w:val="24"/>
          <w:szCs w:val="24"/>
        </w:rPr>
        <w:t>“</w:t>
      </w:r>
      <w:r w:rsidRPr="00212D00">
        <w:rPr>
          <w:sz w:val="24"/>
          <w:szCs w:val="24"/>
        </w:rPr>
        <w:t>payment</w:t>
      </w:r>
      <w:r>
        <w:rPr>
          <w:sz w:val="24"/>
          <w:szCs w:val="24"/>
        </w:rPr>
        <w:t>s hub</w:t>
      </w:r>
      <w:r w:rsidR="00E02FC0">
        <w:rPr>
          <w:sz w:val="24"/>
          <w:szCs w:val="24"/>
        </w:rPr>
        <w:t>”</w:t>
      </w:r>
      <w:r w:rsidRPr="00212D00">
        <w:rPr>
          <w:sz w:val="24"/>
          <w:szCs w:val="24"/>
        </w:rPr>
        <w:t xml:space="preserve"> that can support both separated </w:t>
      </w:r>
      <w:hyperlink w:anchor="EFT" w:history="1">
        <w:r w:rsidRPr="006B6165">
          <w:rPr>
            <w:rStyle w:val="Hyperlink"/>
            <w:sz w:val="24"/>
            <w:szCs w:val="24"/>
          </w:rPr>
          <w:t>EFT</w:t>
        </w:r>
      </w:hyperlink>
      <w:r w:rsidRPr="00212D00">
        <w:rPr>
          <w:sz w:val="24"/>
          <w:szCs w:val="24"/>
        </w:rPr>
        <w:t>/</w:t>
      </w:r>
      <w:hyperlink w:anchor="ERA" w:history="1">
        <w:r w:rsidR="0029408B" w:rsidRPr="00F37718">
          <w:rPr>
            <w:rStyle w:val="Hyperlink"/>
            <w:sz w:val="24"/>
            <w:szCs w:val="24"/>
          </w:rPr>
          <w:t>ERA</w:t>
        </w:r>
      </w:hyperlink>
      <w:r w:rsidR="0029408B" w:rsidRPr="00212D00">
        <w:rPr>
          <w:sz w:val="24"/>
          <w:szCs w:val="24"/>
        </w:rPr>
        <w:t xml:space="preserve"> transactions</w:t>
      </w:r>
      <w:r w:rsidRPr="00212D00">
        <w:rPr>
          <w:sz w:val="24"/>
          <w:szCs w:val="24"/>
        </w:rPr>
        <w:t xml:space="preserve"> as well as an alternate larger and secure payload package that contains all </w:t>
      </w:r>
      <w:r>
        <w:rPr>
          <w:sz w:val="24"/>
          <w:szCs w:val="24"/>
        </w:rPr>
        <w:t xml:space="preserve">of </w:t>
      </w:r>
      <w:r w:rsidRPr="00212D00">
        <w:rPr>
          <w:sz w:val="24"/>
          <w:szCs w:val="24"/>
        </w:rPr>
        <w:t xml:space="preserve">the information in one bundle. </w:t>
      </w:r>
      <w:r w:rsidR="00E02FC0">
        <w:rPr>
          <w:sz w:val="24"/>
          <w:szCs w:val="24"/>
        </w:rPr>
        <w:t xml:space="preserve">In this paper, we examine the use of the </w:t>
      </w:r>
      <w:hyperlink w:anchor="SWIFT" w:history="1">
        <w:r w:rsidR="00E02FC0" w:rsidRPr="008940FA">
          <w:rPr>
            <w:rStyle w:val="Hyperlink"/>
            <w:sz w:val="24"/>
            <w:szCs w:val="24"/>
          </w:rPr>
          <w:t>SWIFT</w:t>
        </w:r>
      </w:hyperlink>
      <w:r w:rsidR="00E02FC0">
        <w:rPr>
          <w:sz w:val="24"/>
          <w:szCs w:val="24"/>
        </w:rPr>
        <w:t xml:space="preserve"> organization for this purpose. </w:t>
      </w:r>
    </w:p>
    <w:p w:rsidR="005C6893" w:rsidRPr="00212D00" w:rsidRDefault="005C6893" w:rsidP="005C6893">
      <w:pPr>
        <w:pStyle w:val="NoSpacing"/>
        <w:rPr>
          <w:sz w:val="24"/>
          <w:szCs w:val="24"/>
        </w:rPr>
      </w:pPr>
    </w:p>
    <w:p w:rsidR="00E02FC0" w:rsidRDefault="005406CD" w:rsidP="005C6893">
      <w:pPr>
        <w:pStyle w:val="NoSpacing"/>
        <w:rPr>
          <w:sz w:val="24"/>
          <w:szCs w:val="24"/>
        </w:rPr>
      </w:pPr>
      <w:hyperlink w:anchor="SWIFT" w:history="1">
        <w:r w:rsidR="0029408B" w:rsidRPr="008940FA">
          <w:rPr>
            <w:rStyle w:val="Hyperlink"/>
            <w:sz w:val="24"/>
            <w:szCs w:val="24"/>
          </w:rPr>
          <w:t>SWIFT</w:t>
        </w:r>
      </w:hyperlink>
      <w:r w:rsidR="0029408B" w:rsidRPr="00212D00">
        <w:rPr>
          <w:sz w:val="24"/>
          <w:szCs w:val="24"/>
        </w:rPr>
        <w:t xml:space="preserve"> is</w:t>
      </w:r>
      <w:r w:rsidR="005C6893" w:rsidRPr="00212D00">
        <w:rPr>
          <w:sz w:val="24"/>
          <w:szCs w:val="24"/>
        </w:rPr>
        <w:t xml:space="preserve"> an international financial messaging platform that is used for wiring funds. In recent years, however, the organization has expanded its scope into other types of transactions. This includes the “</w:t>
      </w:r>
      <w:hyperlink w:anchor="FileAct" w:history="1">
        <w:r w:rsidR="005C6893" w:rsidRPr="00225529">
          <w:rPr>
            <w:rStyle w:val="Hyperlink"/>
            <w:sz w:val="24"/>
            <w:szCs w:val="24"/>
          </w:rPr>
          <w:t>FileAct</w:t>
        </w:r>
      </w:hyperlink>
      <w:r w:rsidR="005C6893" w:rsidRPr="00212D00">
        <w:rPr>
          <w:sz w:val="24"/>
          <w:szCs w:val="24"/>
        </w:rPr>
        <w:t>” transaction which allows secure and reliable transfer of files and is typically used to exchange batches of structured financial messages and large reports.</w:t>
      </w:r>
      <w:r w:rsidR="000E50F7">
        <w:rPr>
          <w:sz w:val="24"/>
          <w:szCs w:val="24"/>
        </w:rPr>
        <w:t xml:space="preserve"> </w:t>
      </w:r>
      <w:hyperlink w:anchor="FileAct" w:history="1">
        <w:r w:rsidR="005C6893" w:rsidRPr="00225529">
          <w:rPr>
            <w:rStyle w:val="Hyperlink"/>
            <w:sz w:val="24"/>
            <w:szCs w:val="24"/>
          </w:rPr>
          <w:t>FileAct</w:t>
        </w:r>
      </w:hyperlink>
      <w:r w:rsidR="005C6893" w:rsidRPr="00212D00">
        <w:rPr>
          <w:sz w:val="24"/>
          <w:szCs w:val="24"/>
        </w:rPr>
        <w:t xml:space="preserve"> supports tailored solutions for market infrastructure communities, closed user groups and financial institutions.</w:t>
      </w:r>
      <w:r w:rsidR="000E50F7">
        <w:rPr>
          <w:sz w:val="24"/>
          <w:szCs w:val="24"/>
        </w:rPr>
        <w:t xml:space="preserve"> </w:t>
      </w:r>
      <w:hyperlink w:anchor="FileAct" w:history="1">
        <w:r w:rsidR="005C6893" w:rsidRPr="00225529">
          <w:rPr>
            <w:rStyle w:val="Hyperlink"/>
            <w:sz w:val="24"/>
            <w:szCs w:val="24"/>
          </w:rPr>
          <w:t>FileAct</w:t>
        </w:r>
      </w:hyperlink>
      <w:r w:rsidR="005C6893" w:rsidRPr="00212D00">
        <w:rPr>
          <w:sz w:val="24"/>
          <w:szCs w:val="24"/>
        </w:rPr>
        <w:t xml:space="preserve"> is particularly suitable for bulk payments, securities value-added information and reporting, and for other purposes, such as central-bank reporting and intra-institution reporting.</w:t>
      </w:r>
      <w:r w:rsidR="000E50F7">
        <w:rPr>
          <w:sz w:val="24"/>
          <w:szCs w:val="24"/>
        </w:rPr>
        <w:t xml:space="preserve"> </w:t>
      </w:r>
    </w:p>
    <w:p w:rsidR="00E02FC0" w:rsidRDefault="00E02FC0" w:rsidP="005C6893">
      <w:pPr>
        <w:pStyle w:val="NoSpacing"/>
        <w:rPr>
          <w:sz w:val="24"/>
          <w:szCs w:val="24"/>
        </w:rPr>
      </w:pPr>
    </w:p>
    <w:p w:rsidR="005C6893" w:rsidRPr="00212D00" w:rsidRDefault="005C6893" w:rsidP="005C6893">
      <w:pPr>
        <w:pStyle w:val="NoSpacing"/>
        <w:rPr>
          <w:sz w:val="24"/>
          <w:szCs w:val="24"/>
        </w:rPr>
      </w:pPr>
      <w:r w:rsidRPr="00212D00">
        <w:rPr>
          <w:sz w:val="24"/>
          <w:szCs w:val="24"/>
        </w:rPr>
        <w:t xml:space="preserve">In the </w:t>
      </w:r>
      <w:hyperlink w:anchor="SWIFT" w:history="1">
        <w:r w:rsidRPr="008940FA">
          <w:rPr>
            <w:rStyle w:val="Hyperlink"/>
            <w:sz w:val="24"/>
            <w:szCs w:val="24"/>
          </w:rPr>
          <w:t>SWIFT</w:t>
        </w:r>
      </w:hyperlink>
      <w:r w:rsidRPr="00212D00">
        <w:rPr>
          <w:sz w:val="24"/>
          <w:szCs w:val="24"/>
        </w:rPr>
        <w:t xml:space="preserve"> scenario, the healthcare payment transa</w:t>
      </w:r>
      <w:r w:rsidR="00BA2A31">
        <w:rPr>
          <w:sz w:val="24"/>
          <w:szCs w:val="24"/>
        </w:rPr>
        <w:t>ction would essentially envelop</w:t>
      </w:r>
      <w:r w:rsidRPr="00212D00">
        <w:rPr>
          <w:sz w:val="24"/>
          <w:szCs w:val="24"/>
        </w:rPr>
        <w:t xml:space="preserve"> the </w:t>
      </w:r>
      <w:hyperlink w:anchor="CCD" w:history="1">
        <w:r w:rsidRPr="00B7289A">
          <w:rPr>
            <w:rStyle w:val="Hyperlink"/>
            <w:sz w:val="24"/>
            <w:szCs w:val="24"/>
          </w:rPr>
          <w:t>CCD+</w:t>
        </w:r>
      </w:hyperlink>
      <w:r w:rsidRPr="00212D00">
        <w:rPr>
          <w:sz w:val="24"/>
          <w:szCs w:val="24"/>
        </w:rPr>
        <w:t xml:space="preserve"> (to comply with the new federal operating rule requirements) but then additionally offer the required space for the related remittance data in the same package – thus supporting a straight-through process. A demonstration project using </w:t>
      </w:r>
      <w:hyperlink w:anchor="FileAct" w:history="1">
        <w:r w:rsidRPr="00225529">
          <w:rPr>
            <w:rStyle w:val="Hyperlink"/>
            <w:sz w:val="24"/>
            <w:szCs w:val="24"/>
          </w:rPr>
          <w:t>FileAct</w:t>
        </w:r>
      </w:hyperlink>
      <w:r w:rsidRPr="00212D00">
        <w:rPr>
          <w:sz w:val="24"/>
          <w:szCs w:val="24"/>
        </w:rPr>
        <w:t xml:space="preserve"> could showcase a financial infrastructure that reduces costs across the healthcare ecosystem. </w:t>
      </w:r>
    </w:p>
    <w:p w:rsidR="005C6893" w:rsidRPr="00212D00" w:rsidRDefault="005C6893" w:rsidP="005C6893">
      <w:pPr>
        <w:pStyle w:val="NoSpacing"/>
        <w:rPr>
          <w:sz w:val="24"/>
          <w:szCs w:val="24"/>
        </w:rPr>
      </w:pPr>
    </w:p>
    <w:p w:rsidR="005C6893" w:rsidRPr="00B44860" w:rsidRDefault="005C6893" w:rsidP="005C6893">
      <w:pPr>
        <w:pStyle w:val="NoSpacing"/>
        <w:rPr>
          <w:sz w:val="24"/>
          <w:szCs w:val="24"/>
        </w:rPr>
      </w:pPr>
      <w:r w:rsidRPr="00B44860">
        <w:rPr>
          <w:sz w:val="24"/>
          <w:szCs w:val="24"/>
        </w:rPr>
        <w:t xml:space="preserve">One large healthcare system suggests that an </w:t>
      </w:r>
      <w:hyperlink w:anchor="STP" w:history="1">
        <w:r w:rsidRPr="00425E01">
          <w:rPr>
            <w:rStyle w:val="Hyperlink"/>
            <w:sz w:val="24"/>
            <w:szCs w:val="24"/>
          </w:rPr>
          <w:t>STP</w:t>
        </w:r>
      </w:hyperlink>
      <w:r w:rsidRPr="00B44860">
        <w:rPr>
          <w:sz w:val="24"/>
          <w:szCs w:val="24"/>
        </w:rPr>
        <w:t>-enabled approach could serve their national footprint extremely well and listed the following design features:</w:t>
      </w:r>
    </w:p>
    <w:p w:rsidR="005C6893" w:rsidRPr="00B44860" w:rsidRDefault="005C6893" w:rsidP="00FD7D34">
      <w:pPr>
        <w:pStyle w:val="NoSpacing"/>
        <w:numPr>
          <w:ilvl w:val="0"/>
          <w:numId w:val="17"/>
        </w:numPr>
        <w:rPr>
          <w:sz w:val="24"/>
          <w:szCs w:val="24"/>
        </w:rPr>
      </w:pPr>
      <w:r w:rsidRPr="00B44860">
        <w:rPr>
          <w:sz w:val="24"/>
          <w:szCs w:val="24"/>
        </w:rPr>
        <w:t>Connectivity with the majority of existing banks, clearinghouses, and vendor partners</w:t>
      </w:r>
    </w:p>
    <w:p w:rsidR="005C6893" w:rsidRPr="00B44860" w:rsidRDefault="005C6893" w:rsidP="00FD7D34">
      <w:pPr>
        <w:pStyle w:val="NoSpacing"/>
        <w:numPr>
          <w:ilvl w:val="0"/>
          <w:numId w:val="17"/>
        </w:numPr>
        <w:rPr>
          <w:sz w:val="24"/>
          <w:szCs w:val="24"/>
        </w:rPr>
      </w:pPr>
      <w:r w:rsidRPr="00B44860">
        <w:rPr>
          <w:sz w:val="24"/>
          <w:szCs w:val="24"/>
        </w:rPr>
        <w:t>Pre-built services that include a number of workflow functions, such as payer-specific edits, eligibility verification, EDI transactions reporting and analytics, payment and remittance reconciliation, standard remittance and denial code management</w:t>
      </w:r>
    </w:p>
    <w:p w:rsidR="005C6893" w:rsidRPr="00B44860" w:rsidRDefault="005406CD" w:rsidP="00FD7D34">
      <w:pPr>
        <w:pStyle w:val="NoSpacing"/>
        <w:numPr>
          <w:ilvl w:val="0"/>
          <w:numId w:val="17"/>
        </w:numPr>
        <w:rPr>
          <w:sz w:val="24"/>
          <w:szCs w:val="24"/>
        </w:rPr>
      </w:pPr>
      <w:hyperlink w:anchor="HIPAA" w:history="1">
        <w:r w:rsidR="005C6893" w:rsidRPr="005016DA">
          <w:rPr>
            <w:rStyle w:val="Hyperlink"/>
            <w:sz w:val="24"/>
            <w:szCs w:val="24"/>
          </w:rPr>
          <w:t>HIPAA</w:t>
        </w:r>
      </w:hyperlink>
      <w:r w:rsidR="005C6893" w:rsidRPr="00B44860">
        <w:rPr>
          <w:sz w:val="24"/>
          <w:szCs w:val="24"/>
        </w:rPr>
        <w:t xml:space="preserve"> security requirements including encrypting and separating enterprise information in storage and transit, ensuring services are not mingled with other customers, etc. </w:t>
      </w:r>
    </w:p>
    <w:p w:rsidR="005C6893" w:rsidRDefault="005C6893" w:rsidP="00FD7D34">
      <w:pPr>
        <w:pStyle w:val="NoSpacing"/>
        <w:numPr>
          <w:ilvl w:val="0"/>
          <w:numId w:val="17"/>
        </w:numPr>
        <w:rPr>
          <w:sz w:val="24"/>
          <w:szCs w:val="24"/>
        </w:rPr>
      </w:pPr>
      <w:r w:rsidRPr="00B44860">
        <w:rPr>
          <w:sz w:val="24"/>
          <w:szCs w:val="24"/>
        </w:rPr>
        <w:t>The ability to benefit from financial incentives such as volume discounts unavailable through a single vendor solution</w:t>
      </w:r>
    </w:p>
    <w:p w:rsidR="00F00D4C" w:rsidRDefault="00F00D4C" w:rsidP="00F00D4C">
      <w:pPr>
        <w:pStyle w:val="Heading2"/>
      </w:pPr>
      <w:bookmarkStart w:id="27" w:name="_Toc345348394"/>
      <w:r>
        <w:t>STP Example</w:t>
      </w:r>
      <w:bookmarkEnd w:id="27"/>
    </w:p>
    <w:p w:rsidR="00F00D4C" w:rsidRDefault="00F00D4C" w:rsidP="00F00D4C">
      <w:r>
        <w:t xml:space="preserve">For an example of </w:t>
      </w:r>
      <w:hyperlink w:anchor="STP" w:history="1">
        <w:r w:rsidRPr="00425E01">
          <w:rPr>
            <w:rStyle w:val="Hyperlink"/>
          </w:rPr>
          <w:t>STP</w:t>
        </w:r>
      </w:hyperlink>
      <w:r>
        <w:t xml:space="preserve"> in action, consider the following:</w:t>
      </w:r>
    </w:p>
    <w:p w:rsidR="00F00D4C" w:rsidRPr="001A185C" w:rsidRDefault="00F00D4C" w:rsidP="00FD7D34">
      <w:pPr>
        <w:pStyle w:val="ListParagraph"/>
        <w:numPr>
          <w:ilvl w:val="0"/>
          <w:numId w:val="22"/>
        </w:numPr>
        <w:rPr>
          <w:lang w:bidi="ar-SA"/>
        </w:rPr>
      </w:pPr>
      <w:r w:rsidRPr="001A185C">
        <w:rPr>
          <w:lang w:bidi="ar-SA"/>
        </w:rPr>
        <w:t>Joe Corrales is treated by a provider; his claim is processed through ABC clearinghouse which sends</w:t>
      </w:r>
      <w:r>
        <w:rPr>
          <w:lang w:bidi="ar-SA"/>
        </w:rPr>
        <w:t xml:space="preserve"> an edited version (X12 837</w:t>
      </w:r>
      <w:r w:rsidRPr="001A185C">
        <w:rPr>
          <w:lang w:bidi="ar-SA"/>
        </w:rPr>
        <w:t>) to ABC Insurance Corp.</w:t>
      </w:r>
    </w:p>
    <w:p w:rsidR="00F00D4C" w:rsidRPr="001A185C" w:rsidRDefault="00F00D4C" w:rsidP="00FD7D34">
      <w:pPr>
        <w:pStyle w:val="ListParagraph"/>
        <w:numPr>
          <w:ilvl w:val="0"/>
          <w:numId w:val="22"/>
        </w:numPr>
        <w:rPr>
          <w:lang w:bidi="ar-SA"/>
        </w:rPr>
      </w:pPr>
      <w:r w:rsidRPr="001A185C">
        <w:rPr>
          <w:lang w:bidi="ar-SA"/>
        </w:rPr>
        <w:t xml:space="preserve">ABC Insurance Corp adjudicates the claim and processes a payment that is loaded into a batch payment file. The file is submitted to </w:t>
      </w:r>
      <w:r w:rsidR="00E02FC0">
        <w:rPr>
          <w:lang w:bidi="ar-SA"/>
        </w:rPr>
        <w:t xml:space="preserve">ABC </w:t>
      </w:r>
      <w:r w:rsidRPr="001A185C">
        <w:rPr>
          <w:lang w:bidi="ar-SA"/>
        </w:rPr>
        <w:t xml:space="preserve">Vendor that prepares it into a </w:t>
      </w:r>
      <w:hyperlink w:anchor="CCD" w:history="1">
        <w:r w:rsidRPr="00B7289A">
          <w:rPr>
            <w:rStyle w:val="Hyperlink"/>
            <w:lang w:bidi="ar-SA"/>
          </w:rPr>
          <w:t>CCD+</w:t>
        </w:r>
      </w:hyperlink>
      <w:r w:rsidRPr="001A185C">
        <w:rPr>
          <w:lang w:bidi="ar-SA"/>
        </w:rPr>
        <w:t xml:space="preserve"> transaction </w:t>
      </w:r>
      <w:r>
        <w:rPr>
          <w:lang w:bidi="ar-SA"/>
        </w:rPr>
        <w:t>(</w:t>
      </w:r>
      <w:hyperlink w:anchor="EFT" w:history="1">
        <w:r w:rsidRPr="006B6165">
          <w:rPr>
            <w:rStyle w:val="Hyperlink"/>
            <w:lang w:bidi="ar-SA"/>
          </w:rPr>
          <w:t>EFT</w:t>
        </w:r>
      </w:hyperlink>
      <w:r>
        <w:rPr>
          <w:lang w:bidi="ar-SA"/>
        </w:rPr>
        <w:t xml:space="preserve"> plus </w:t>
      </w:r>
      <w:hyperlink w:anchor="ERA" w:history="1">
        <w:r w:rsidRPr="00F37718">
          <w:rPr>
            <w:rStyle w:val="Hyperlink"/>
            <w:lang w:bidi="ar-SA"/>
          </w:rPr>
          <w:t>ERA</w:t>
        </w:r>
      </w:hyperlink>
      <w:r>
        <w:rPr>
          <w:lang w:bidi="ar-SA"/>
        </w:rPr>
        <w:t xml:space="preserve"> re-association information) </w:t>
      </w:r>
      <w:r w:rsidRPr="001A185C">
        <w:rPr>
          <w:lang w:bidi="ar-SA"/>
        </w:rPr>
        <w:t>and an EDI</w:t>
      </w:r>
      <w:r>
        <w:rPr>
          <w:lang w:bidi="ar-SA"/>
        </w:rPr>
        <w:t>835 (</w:t>
      </w:r>
      <w:hyperlink w:anchor="ERA" w:history="1">
        <w:r w:rsidRPr="00F37718">
          <w:rPr>
            <w:rStyle w:val="Hyperlink"/>
            <w:lang w:bidi="ar-SA"/>
          </w:rPr>
          <w:t>ERA</w:t>
        </w:r>
      </w:hyperlink>
      <w:r>
        <w:rPr>
          <w:lang w:bidi="ar-SA"/>
        </w:rPr>
        <w:t xml:space="preserve"> with re-association information). They then send these</w:t>
      </w:r>
      <w:r w:rsidRPr="001A185C">
        <w:rPr>
          <w:lang w:bidi="ar-SA"/>
        </w:rPr>
        <w:t xml:space="preserve"> to </w:t>
      </w:r>
      <w:r w:rsidR="00E02FC0">
        <w:rPr>
          <w:lang w:bidi="ar-SA"/>
        </w:rPr>
        <w:t>“</w:t>
      </w:r>
      <w:r w:rsidRPr="001A185C">
        <w:rPr>
          <w:lang w:bidi="ar-SA"/>
        </w:rPr>
        <w:t>F</w:t>
      </w:r>
      <w:r>
        <w:rPr>
          <w:lang w:bidi="ar-SA"/>
        </w:rPr>
        <w:t>irst Medical Bank</w:t>
      </w:r>
      <w:r w:rsidR="00E02FC0">
        <w:rPr>
          <w:lang w:bidi="ar-SA"/>
        </w:rPr>
        <w:t>”</w:t>
      </w:r>
      <w:r>
        <w:rPr>
          <w:lang w:bidi="ar-SA"/>
        </w:rPr>
        <w:t xml:space="preserve"> for execution</w:t>
      </w:r>
      <w:r w:rsidRPr="001A185C">
        <w:rPr>
          <w:lang w:bidi="ar-SA"/>
        </w:rPr>
        <w:t>.</w:t>
      </w:r>
    </w:p>
    <w:p w:rsidR="00F00D4C" w:rsidRPr="001A185C" w:rsidRDefault="00F00D4C" w:rsidP="00FD7D34">
      <w:pPr>
        <w:pStyle w:val="ListParagraph"/>
        <w:numPr>
          <w:ilvl w:val="0"/>
          <w:numId w:val="22"/>
        </w:numPr>
        <w:rPr>
          <w:lang w:bidi="ar-SA"/>
        </w:rPr>
      </w:pPr>
      <w:r w:rsidRPr="001A185C">
        <w:rPr>
          <w:lang w:bidi="ar-SA"/>
        </w:rPr>
        <w:t xml:space="preserve">First Medical Bank sends the </w:t>
      </w:r>
      <w:hyperlink w:anchor="CCD" w:history="1">
        <w:r w:rsidRPr="00B7289A">
          <w:rPr>
            <w:rStyle w:val="Hyperlink"/>
            <w:lang w:bidi="ar-SA"/>
          </w:rPr>
          <w:t>CCD+</w:t>
        </w:r>
      </w:hyperlink>
      <w:r w:rsidRPr="001A185C">
        <w:rPr>
          <w:lang w:bidi="ar-SA"/>
        </w:rPr>
        <w:t xml:space="preserve"> and the 835 over </w:t>
      </w:r>
      <w:hyperlink w:anchor="SWIFT" w:history="1">
        <w:r w:rsidRPr="008940FA">
          <w:rPr>
            <w:rStyle w:val="Hyperlink"/>
            <w:lang w:bidi="ar-SA"/>
          </w:rPr>
          <w:t>SWIFT</w:t>
        </w:r>
      </w:hyperlink>
      <w:r w:rsidRPr="001A185C">
        <w:rPr>
          <w:lang w:bidi="ar-SA"/>
        </w:rPr>
        <w:t xml:space="preserve"> (banking network) for secure transport and guaranteed delivery</w:t>
      </w:r>
    </w:p>
    <w:p w:rsidR="00F00D4C" w:rsidRPr="001A185C" w:rsidRDefault="005406CD" w:rsidP="00FD7D34">
      <w:pPr>
        <w:pStyle w:val="ListParagraph"/>
        <w:numPr>
          <w:ilvl w:val="0"/>
          <w:numId w:val="22"/>
        </w:numPr>
        <w:rPr>
          <w:lang w:bidi="ar-SA"/>
        </w:rPr>
      </w:pPr>
      <w:hyperlink w:anchor="SWIFT" w:history="1">
        <w:r w:rsidR="00F00D4C" w:rsidRPr="008940FA">
          <w:rPr>
            <w:rStyle w:val="Hyperlink"/>
            <w:lang w:bidi="ar-SA"/>
          </w:rPr>
          <w:t>SWIFT</w:t>
        </w:r>
      </w:hyperlink>
      <w:r w:rsidR="00F00D4C" w:rsidRPr="001A185C">
        <w:rPr>
          <w:lang w:bidi="ar-SA"/>
        </w:rPr>
        <w:t xml:space="preserve"> processes the </w:t>
      </w:r>
      <w:hyperlink w:anchor="CCD" w:history="1">
        <w:r w:rsidR="00F00D4C" w:rsidRPr="00B7289A">
          <w:rPr>
            <w:rStyle w:val="Hyperlink"/>
            <w:lang w:bidi="ar-SA"/>
          </w:rPr>
          <w:t>CCD+</w:t>
        </w:r>
      </w:hyperlink>
      <w:r w:rsidR="00F00D4C" w:rsidRPr="001A185C">
        <w:rPr>
          <w:lang w:bidi="ar-SA"/>
        </w:rPr>
        <w:t xml:space="preserve"> through the </w:t>
      </w:r>
      <w:hyperlink w:anchor="ACH" w:history="1">
        <w:r w:rsidR="00F00D4C" w:rsidRPr="00B7289A">
          <w:rPr>
            <w:rStyle w:val="Hyperlink"/>
            <w:lang w:bidi="ar-SA"/>
          </w:rPr>
          <w:t>ACH</w:t>
        </w:r>
      </w:hyperlink>
      <w:r w:rsidR="00F00D4C" w:rsidRPr="001A185C">
        <w:rPr>
          <w:lang w:bidi="ar-SA"/>
        </w:rPr>
        <w:t xml:space="preserve"> Network all the way to the RDFI (provider’s bank) and sends the 835 directly to the provider</w:t>
      </w:r>
      <w:r w:rsidR="00F00D4C">
        <w:rPr>
          <w:lang w:bidi="ar-SA"/>
        </w:rPr>
        <w:t>.</w:t>
      </w:r>
    </w:p>
    <w:p w:rsidR="00CB5BC6" w:rsidRDefault="00F00D4C" w:rsidP="00FD7D34">
      <w:pPr>
        <w:pStyle w:val="ListParagraph"/>
        <w:numPr>
          <w:ilvl w:val="0"/>
          <w:numId w:val="22"/>
        </w:numPr>
        <w:rPr>
          <w:lang w:bidi="ar-SA"/>
        </w:rPr>
      </w:pPr>
      <w:r w:rsidRPr="001A185C">
        <w:rPr>
          <w:lang w:bidi="ar-SA"/>
        </w:rPr>
        <w:t xml:space="preserve">Provider picks up the 835 and reconciles with their bank account (which may also be reported via </w:t>
      </w:r>
      <w:hyperlink w:anchor="SWIFT" w:history="1">
        <w:r w:rsidRPr="008940FA">
          <w:rPr>
            <w:rStyle w:val="Hyperlink"/>
            <w:lang w:bidi="ar-SA"/>
          </w:rPr>
          <w:t>SWIFT</w:t>
        </w:r>
      </w:hyperlink>
      <w:r w:rsidRPr="001A185C">
        <w:rPr>
          <w:lang w:bidi="ar-SA"/>
        </w:rPr>
        <w:t xml:space="preserve">); and then processes the </w:t>
      </w:r>
      <w:hyperlink w:anchor="ERA" w:history="1">
        <w:r w:rsidRPr="00F37718">
          <w:rPr>
            <w:rStyle w:val="Hyperlink"/>
            <w:lang w:bidi="ar-SA"/>
          </w:rPr>
          <w:t>ERA</w:t>
        </w:r>
      </w:hyperlink>
      <w:r w:rsidRPr="001A185C">
        <w:rPr>
          <w:lang w:bidi="ar-SA"/>
        </w:rPr>
        <w:t xml:space="preserve"> into their patient accounting system.</w:t>
      </w:r>
    </w:p>
    <w:p w:rsidR="00F1105A" w:rsidRDefault="00F1105A" w:rsidP="00CD6FBB">
      <w:pPr>
        <w:pStyle w:val="Heading2"/>
      </w:pPr>
      <w:bookmarkStart w:id="28" w:name="_Toc345348395"/>
      <w:r>
        <w:t>Pilot Program</w:t>
      </w:r>
      <w:bookmarkEnd w:id="28"/>
    </w:p>
    <w:p w:rsidR="00520598" w:rsidRPr="006F343E" w:rsidRDefault="00520598" w:rsidP="00520598">
      <w:pPr>
        <w:rPr>
          <w:sz w:val="24"/>
        </w:rPr>
      </w:pPr>
      <w:r w:rsidRPr="006F343E">
        <w:rPr>
          <w:sz w:val="24"/>
        </w:rPr>
        <w:t xml:space="preserve">This section outlines the </w:t>
      </w:r>
      <w:r w:rsidR="004C58BE" w:rsidRPr="006F343E">
        <w:rPr>
          <w:sz w:val="24"/>
        </w:rPr>
        <w:t xml:space="preserve">specific </w:t>
      </w:r>
      <w:r w:rsidRPr="006F343E">
        <w:rPr>
          <w:sz w:val="24"/>
        </w:rPr>
        <w:t xml:space="preserve">recommendation for the </w:t>
      </w:r>
      <w:r w:rsidR="004C58BE" w:rsidRPr="006F343E">
        <w:rPr>
          <w:sz w:val="24"/>
        </w:rPr>
        <w:t xml:space="preserve">creation of a </w:t>
      </w:r>
      <w:r w:rsidRPr="006F343E">
        <w:rPr>
          <w:sz w:val="24"/>
        </w:rPr>
        <w:t>healthcare payments hub</w:t>
      </w:r>
      <w:r w:rsidR="004C58BE" w:rsidRPr="006F343E">
        <w:rPr>
          <w:sz w:val="24"/>
        </w:rPr>
        <w:t xml:space="preserve"> pilot</w:t>
      </w:r>
      <w:r w:rsidRPr="006F343E">
        <w:rPr>
          <w:sz w:val="24"/>
        </w:rPr>
        <w:t>.</w:t>
      </w:r>
    </w:p>
    <w:p w:rsidR="002E15E4" w:rsidRPr="00C3153A" w:rsidRDefault="002E15E4" w:rsidP="00CD6FBB">
      <w:pPr>
        <w:pStyle w:val="Heading3"/>
      </w:pPr>
      <w:bookmarkStart w:id="29" w:name="_Toc340052366"/>
      <w:bookmarkStart w:id="30" w:name="_Toc345348396"/>
      <w:r w:rsidRPr="00C3153A">
        <w:t>Vision Statement for a Pilot Program</w:t>
      </w:r>
      <w:bookmarkEnd w:id="29"/>
      <w:bookmarkEnd w:id="30"/>
    </w:p>
    <w:p w:rsidR="002E15E4" w:rsidRDefault="002E15E4" w:rsidP="002E15E4">
      <w:pPr>
        <w:pStyle w:val="NoSpacing"/>
        <w:rPr>
          <w:sz w:val="24"/>
          <w:szCs w:val="24"/>
        </w:rPr>
      </w:pPr>
      <w:r w:rsidRPr="004D5400">
        <w:rPr>
          <w:sz w:val="24"/>
          <w:szCs w:val="24"/>
        </w:rPr>
        <w:t xml:space="preserve">A successful pilot program requires a common vision among all the healthcare stakeholders. </w:t>
      </w:r>
      <w:r w:rsidR="004C58BE">
        <w:rPr>
          <w:sz w:val="24"/>
          <w:szCs w:val="24"/>
        </w:rPr>
        <w:t>The</w:t>
      </w:r>
      <w:r w:rsidRPr="004D5400">
        <w:rPr>
          <w:sz w:val="24"/>
          <w:szCs w:val="24"/>
        </w:rPr>
        <w:t xml:space="preserve"> payments hub could support multiple useful functions. The following vision statement could be used to appropriately scope a pilot program. </w:t>
      </w:r>
    </w:p>
    <w:p w:rsidR="002E15E4" w:rsidRPr="004D5400" w:rsidRDefault="002E15E4" w:rsidP="002E15E4">
      <w:pPr>
        <w:pStyle w:val="NoSpacing"/>
        <w:rPr>
          <w:sz w:val="24"/>
          <w:szCs w:val="24"/>
        </w:rPr>
      </w:pPr>
    </w:p>
    <w:p w:rsidR="002E15E4" w:rsidRDefault="002E15E4" w:rsidP="002E15E4">
      <w:pPr>
        <w:tabs>
          <w:tab w:val="left" w:pos="4245"/>
        </w:tabs>
        <w:ind w:left="576"/>
        <w:rPr>
          <w:rFonts w:cs="Segoe UI"/>
          <w:i/>
          <w:sz w:val="24"/>
        </w:rPr>
      </w:pPr>
      <w:r w:rsidRPr="00EE19EF">
        <w:rPr>
          <w:rFonts w:cs="Segoe UI"/>
          <w:i/>
          <w:sz w:val="24"/>
        </w:rPr>
        <w:t xml:space="preserve">We envision a new healthcare network solution beginning in pilot and growing into a common standard where stakeholders and their service providers enjoy robust and standardized </w:t>
      </w:r>
      <w:hyperlink w:anchor="B2BB2C" w:history="1">
        <w:r w:rsidRPr="00B7289A">
          <w:rPr>
            <w:rStyle w:val="Hyperlink"/>
            <w:rFonts w:cs="Segoe UI"/>
            <w:i/>
            <w:sz w:val="24"/>
          </w:rPr>
          <w:t>B2B</w:t>
        </w:r>
      </w:hyperlink>
      <w:r w:rsidRPr="00EE19EF">
        <w:rPr>
          <w:rFonts w:cs="Segoe UI"/>
          <w:i/>
          <w:sz w:val="24"/>
        </w:rPr>
        <w:t xml:space="preserve"> remittance and payment exchange via a hub and spoke architecture. As a result, healthcare and related service organizations and exchanges will become fully in control of their global transactions, records managemen</w:t>
      </w:r>
      <w:r>
        <w:rPr>
          <w:rFonts w:cs="Segoe UI"/>
          <w:i/>
          <w:sz w:val="24"/>
        </w:rPr>
        <w:t>t, payments, and r</w:t>
      </w:r>
      <w:r w:rsidRPr="00EE19EF">
        <w:rPr>
          <w:rFonts w:cs="Segoe UI"/>
          <w:i/>
          <w:sz w:val="24"/>
        </w:rPr>
        <w:t>eceivables pipeline.</w:t>
      </w:r>
      <w:r w:rsidR="000E50F7">
        <w:rPr>
          <w:rFonts w:cs="Segoe UI"/>
          <w:i/>
          <w:sz w:val="24"/>
        </w:rPr>
        <w:t xml:space="preserve"> </w:t>
      </w:r>
    </w:p>
    <w:p w:rsidR="002E15E4" w:rsidRPr="004D5400" w:rsidRDefault="002E15E4" w:rsidP="002E15E4">
      <w:pPr>
        <w:pStyle w:val="NoSpacing"/>
        <w:rPr>
          <w:sz w:val="24"/>
          <w:szCs w:val="24"/>
        </w:rPr>
      </w:pPr>
      <w:r w:rsidRPr="004D5400">
        <w:rPr>
          <w:sz w:val="24"/>
          <w:szCs w:val="24"/>
        </w:rPr>
        <w:t>The benefits of a payments hub would:</w:t>
      </w:r>
    </w:p>
    <w:p w:rsidR="002E15E4" w:rsidRPr="004D5400" w:rsidRDefault="002E15E4" w:rsidP="00FD7D34">
      <w:pPr>
        <w:pStyle w:val="NoSpacing"/>
        <w:numPr>
          <w:ilvl w:val="0"/>
          <w:numId w:val="18"/>
        </w:numPr>
        <w:rPr>
          <w:sz w:val="24"/>
          <w:szCs w:val="24"/>
        </w:rPr>
      </w:pPr>
      <w:r w:rsidRPr="004D5400">
        <w:rPr>
          <w:sz w:val="24"/>
          <w:szCs w:val="24"/>
        </w:rPr>
        <w:t>Improve overall revenue cycle management across the industry</w:t>
      </w:r>
    </w:p>
    <w:p w:rsidR="002E15E4" w:rsidRPr="004D5400" w:rsidRDefault="002E15E4" w:rsidP="00FD7D34">
      <w:pPr>
        <w:pStyle w:val="NoSpacing"/>
        <w:numPr>
          <w:ilvl w:val="0"/>
          <w:numId w:val="18"/>
        </w:numPr>
        <w:rPr>
          <w:sz w:val="24"/>
          <w:szCs w:val="24"/>
        </w:rPr>
      </w:pPr>
      <w:r w:rsidRPr="004D5400">
        <w:rPr>
          <w:sz w:val="24"/>
          <w:szCs w:val="24"/>
        </w:rPr>
        <w:t xml:space="preserve">Improve cash flows for all counterparties </w:t>
      </w:r>
    </w:p>
    <w:p w:rsidR="002E15E4" w:rsidRPr="004D5400" w:rsidRDefault="002E15E4" w:rsidP="00FD7D34">
      <w:pPr>
        <w:pStyle w:val="NoSpacing"/>
        <w:numPr>
          <w:ilvl w:val="0"/>
          <w:numId w:val="18"/>
        </w:numPr>
        <w:rPr>
          <w:sz w:val="24"/>
          <w:szCs w:val="24"/>
        </w:rPr>
      </w:pPr>
      <w:r w:rsidRPr="004D5400">
        <w:rPr>
          <w:sz w:val="24"/>
          <w:szCs w:val="24"/>
        </w:rPr>
        <w:t>Decrease the cost and complexity of transaction processing</w:t>
      </w:r>
    </w:p>
    <w:p w:rsidR="002E15E4" w:rsidRPr="004D5400" w:rsidRDefault="002E15E4" w:rsidP="00FD7D34">
      <w:pPr>
        <w:pStyle w:val="NoSpacing"/>
        <w:numPr>
          <w:ilvl w:val="0"/>
          <w:numId w:val="18"/>
        </w:numPr>
        <w:rPr>
          <w:sz w:val="24"/>
          <w:szCs w:val="24"/>
        </w:rPr>
      </w:pPr>
      <w:r w:rsidRPr="004D5400">
        <w:rPr>
          <w:sz w:val="24"/>
          <w:szCs w:val="24"/>
        </w:rPr>
        <w:t xml:space="preserve">Promote unprecedented </w:t>
      </w:r>
      <w:r w:rsidR="00C720EC" w:rsidRPr="004D5400">
        <w:rPr>
          <w:sz w:val="24"/>
          <w:szCs w:val="24"/>
        </w:rPr>
        <w:t>interoperability of</w:t>
      </w:r>
      <w:r w:rsidRPr="004D5400">
        <w:rPr>
          <w:sz w:val="24"/>
          <w:szCs w:val="24"/>
        </w:rPr>
        <w:t xml:space="preserve"> banking and financial systems </w:t>
      </w:r>
    </w:p>
    <w:p w:rsidR="002E15E4" w:rsidRPr="004D5400" w:rsidRDefault="002E15E4" w:rsidP="00FD7D34">
      <w:pPr>
        <w:pStyle w:val="NoSpacing"/>
        <w:numPr>
          <w:ilvl w:val="0"/>
          <w:numId w:val="18"/>
        </w:numPr>
        <w:rPr>
          <w:sz w:val="24"/>
          <w:szCs w:val="24"/>
        </w:rPr>
      </w:pPr>
      <w:r w:rsidRPr="004D5400">
        <w:rPr>
          <w:sz w:val="24"/>
          <w:szCs w:val="24"/>
        </w:rPr>
        <w:lastRenderedPageBreak/>
        <w:t xml:space="preserve">Increase healthcare </w:t>
      </w:r>
      <w:hyperlink w:anchor="STP" w:history="1">
        <w:r w:rsidRPr="00425E01">
          <w:rPr>
            <w:rStyle w:val="Hyperlink"/>
            <w:sz w:val="24"/>
            <w:szCs w:val="24"/>
          </w:rPr>
          <w:t>STP</w:t>
        </w:r>
      </w:hyperlink>
      <w:r w:rsidRPr="004D5400">
        <w:rPr>
          <w:sz w:val="24"/>
          <w:szCs w:val="24"/>
        </w:rPr>
        <w:t xml:space="preserve"> and offer near real-time data exchange between the stakeholders</w:t>
      </w:r>
    </w:p>
    <w:p w:rsidR="002E15E4" w:rsidRPr="004D5400" w:rsidRDefault="002E15E4" w:rsidP="00FD7D34">
      <w:pPr>
        <w:pStyle w:val="NoSpacing"/>
        <w:numPr>
          <w:ilvl w:val="0"/>
          <w:numId w:val="18"/>
        </w:numPr>
        <w:rPr>
          <w:sz w:val="24"/>
          <w:szCs w:val="24"/>
        </w:rPr>
      </w:pPr>
      <w:r w:rsidRPr="004D5400">
        <w:rPr>
          <w:sz w:val="24"/>
          <w:szCs w:val="24"/>
        </w:rPr>
        <w:t xml:space="preserve">Increase acceptance rates of electronic transactions </w:t>
      </w:r>
    </w:p>
    <w:p w:rsidR="002E15E4" w:rsidRPr="004D5400" w:rsidRDefault="002E15E4" w:rsidP="00FD7D34">
      <w:pPr>
        <w:pStyle w:val="NoSpacing"/>
        <w:numPr>
          <w:ilvl w:val="0"/>
          <w:numId w:val="18"/>
        </w:numPr>
        <w:rPr>
          <w:sz w:val="24"/>
          <w:szCs w:val="24"/>
        </w:rPr>
      </w:pPr>
      <w:r w:rsidRPr="004D5400">
        <w:rPr>
          <w:sz w:val="24"/>
          <w:szCs w:val="24"/>
        </w:rPr>
        <w:t>Offer an innovation platform for vendors and financial institutions to expand services</w:t>
      </w:r>
    </w:p>
    <w:p w:rsidR="002E15E4" w:rsidRPr="004D5400" w:rsidRDefault="002E15E4" w:rsidP="00FD7D34">
      <w:pPr>
        <w:pStyle w:val="NoSpacing"/>
        <w:numPr>
          <w:ilvl w:val="0"/>
          <w:numId w:val="18"/>
        </w:numPr>
        <w:rPr>
          <w:sz w:val="24"/>
          <w:szCs w:val="24"/>
        </w:rPr>
      </w:pPr>
      <w:r w:rsidRPr="004D5400">
        <w:rPr>
          <w:sz w:val="24"/>
          <w:szCs w:val="24"/>
        </w:rPr>
        <w:t>Increase visibility into healthcare payment transactions</w:t>
      </w:r>
    </w:p>
    <w:p w:rsidR="002E15E4" w:rsidRPr="00C3153A" w:rsidRDefault="002E15E4" w:rsidP="00CD6FBB">
      <w:pPr>
        <w:pStyle w:val="Heading3"/>
      </w:pPr>
      <w:bookmarkStart w:id="31" w:name="_Toc340052367"/>
      <w:bookmarkStart w:id="32" w:name="_Toc345348397"/>
      <w:r w:rsidRPr="00C3153A">
        <w:t xml:space="preserve">Examples of Functions within the </w:t>
      </w:r>
      <w:r>
        <w:t xml:space="preserve">Healthcare </w:t>
      </w:r>
      <w:r w:rsidRPr="00C3153A">
        <w:t>Payments Hub</w:t>
      </w:r>
      <w:bookmarkEnd w:id="31"/>
      <w:bookmarkEnd w:id="32"/>
    </w:p>
    <w:p w:rsidR="002E15E4" w:rsidRPr="007414BB" w:rsidRDefault="004C58BE" w:rsidP="00FD7D34">
      <w:pPr>
        <w:pStyle w:val="NoSpacing"/>
        <w:numPr>
          <w:ilvl w:val="0"/>
          <w:numId w:val="19"/>
        </w:numPr>
        <w:rPr>
          <w:kern w:val="24"/>
          <w:sz w:val="24"/>
          <w:szCs w:val="24"/>
        </w:rPr>
      </w:pPr>
      <w:r>
        <w:rPr>
          <w:kern w:val="24"/>
          <w:sz w:val="24"/>
          <w:szCs w:val="24"/>
        </w:rPr>
        <w:t>Provide</w:t>
      </w:r>
      <w:r w:rsidR="002E15E4" w:rsidRPr="007414BB">
        <w:rPr>
          <w:kern w:val="24"/>
          <w:sz w:val="24"/>
          <w:szCs w:val="24"/>
        </w:rPr>
        <w:t xml:space="preserve"> secured connections to payers, providers and clearinghouses via SFTP, </w:t>
      </w:r>
      <w:hyperlink w:anchor="VPN" w:history="1">
        <w:r w:rsidR="002E15E4" w:rsidRPr="003D3325">
          <w:rPr>
            <w:rStyle w:val="Hyperlink"/>
            <w:kern w:val="24"/>
            <w:sz w:val="24"/>
            <w:szCs w:val="24"/>
          </w:rPr>
          <w:t>VPN</w:t>
        </w:r>
      </w:hyperlink>
      <w:r w:rsidR="002E15E4">
        <w:rPr>
          <w:kern w:val="24"/>
          <w:sz w:val="24"/>
          <w:szCs w:val="24"/>
        </w:rPr>
        <w:t xml:space="preserve">, Digital Certificate etc., </w:t>
      </w:r>
      <w:r w:rsidR="002E15E4" w:rsidRPr="007414BB">
        <w:rPr>
          <w:kern w:val="24"/>
          <w:sz w:val="24"/>
          <w:szCs w:val="24"/>
        </w:rPr>
        <w:t xml:space="preserve">while connecting to banks via </w:t>
      </w:r>
      <w:hyperlink w:anchor="SWIFT" w:history="1">
        <w:r w:rsidR="002E15E4" w:rsidRPr="008940FA">
          <w:rPr>
            <w:rStyle w:val="Hyperlink"/>
            <w:kern w:val="24"/>
            <w:sz w:val="24"/>
            <w:szCs w:val="24"/>
          </w:rPr>
          <w:t>SWIFT</w:t>
        </w:r>
      </w:hyperlink>
    </w:p>
    <w:p w:rsidR="002E15E4" w:rsidRPr="007414BB" w:rsidRDefault="004C58BE" w:rsidP="00FD7D34">
      <w:pPr>
        <w:pStyle w:val="NoSpacing"/>
        <w:numPr>
          <w:ilvl w:val="0"/>
          <w:numId w:val="19"/>
        </w:numPr>
        <w:rPr>
          <w:kern w:val="24"/>
          <w:sz w:val="24"/>
          <w:szCs w:val="24"/>
        </w:rPr>
      </w:pPr>
      <w:r>
        <w:rPr>
          <w:kern w:val="24"/>
          <w:sz w:val="24"/>
          <w:szCs w:val="24"/>
        </w:rPr>
        <w:t>Offer s</w:t>
      </w:r>
      <w:r w:rsidR="002E15E4">
        <w:rPr>
          <w:kern w:val="24"/>
          <w:sz w:val="24"/>
          <w:szCs w:val="24"/>
        </w:rPr>
        <w:t>erver-side web-</w:t>
      </w:r>
      <w:r w:rsidR="002E15E4" w:rsidRPr="007414BB">
        <w:rPr>
          <w:kern w:val="24"/>
          <w:sz w:val="24"/>
          <w:szCs w:val="24"/>
        </w:rPr>
        <w:t>based</w:t>
      </w:r>
      <w:r w:rsidR="002E15E4">
        <w:rPr>
          <w:kern w:val="24"/>
          <w:sz w:val="24"/>
          <w:szCs w:val="24"/>
        </w:rPr>
        <w:t xml:space="preserve"> technology set</w:t>
      </w:r>
      <w:r w:rsidR="002E15E4" w:rsidRPr="007414BB">
        <w:rPr>
          <w:kern w:val="24"/>
          <w:sz w:val="24"/>
          <w:szCs w:val="24"/>
        </w:rPr>
        <w:t xml:space="preserve">up so no client installation required </w:t>
      </w:r>
    </w:p>
    <w:p w:rsidR="002E15E4" w:rsidRPr="007414BB" w:rsidRDefault="004C58BE" w:rsidP="00FD7D34">
      <w:pPr>
        <w:pStyle w:val="NoSpacing"/>
        <w:numPr>
          <w:ilvl w:val="0"/>
          <w:numId w:val="19"/>
        </w:numPr>
        <w:rPr>
          <w:kern w:val="24"/>
          <w:sz w:val="24"/>
          <w:szCs w:val="24"/>
        </w:rPr>
      </w:pPr>
      <w:r>
        <w:rPr>
          <w:kern w:val="24"/>
          <w:sz w:val="24"/>
          <w:szCs w:val="24"/>
        </w:rPr>
        <w:t xml:space="preserve">Support </w:t>
      </w:r>
      <w:hyperlink w:anchor="CCD" w:history="1">
        <w:r w:rsidR="002E15E4" w:rsidRPr="00B7289A">
          <w:rPr>
            <w:rStyle w:val="Hyperlink"/>
            <w:kern w:val="24"/>
            <w:sz w:val="24"/>
            <w:szCs w:val="24"/>
          </w:rPr>
          <w:t>CCD+</w:t>
        </w:r>
      </w:hyperlink>
      <w:r w:rsidR="002E15E4" w:rsidRPr="007414BB">
        <w:rPr>
          <w:kern w:val="24"/>
          <w:sz w:val="24"/>
          <w:szCs w:val="24"/>
        </w:rPr>
        <w:t xml:space="preserve"> for tr</w:t>
      </w:r>
      <w:r w:rsidR="002E15E4">
        <w:rPr>
          <w:kern w:val="24"/>
          <w:sz w:val="24"/>
          <w:szCs w:val="24"/>
        </w:rPr>
        <w:t xml:space="preserve">ansaction trace identification </w:t>
      </w:r>
      <w:r>
        <w:rPr>
          <w:kern w:val="24"/>
          <w:sz w:val="24"/>
          <w:szCs w:val="24"/>
        </w:rPr>
        <w:t>and send</w:t>
      </w:r>
      <w:r w:rsidR="002E15E4" w:rsidRPr="007414BB">
        <w:rPr>
          <w:kern w:val="24"/>
          <w:sz w:val="24"/>
          <w:szCs w:val="24"/>
        </w:rPr>
        <w:t xml:space="preserve"> individually and/or inside of the </w:t>
      </w:r>
      <w:hyperlink w:anchor="FileAct" w:history="1">
        <w:r w:rsidR="002E15E4" w:rsidRPr="00225529">
          <w:rPr>
            <w:rStyle w:val="Hyperlink"/>
            <w:kern w:val="24"/>
            <w:sz w:val="24"/>
            <w:szCs w:val="24"/>
          </w:rPr>
          <w:t>FileAct</w:t>
        </w:r>
      </w:hyperlink>
      <w:r w:rsidR="002E15E4" w:rsidRPr="007414BB">
        <w:rPr>
          <w:kern w:val="24"/>
          <w:sz w:val="24"/>
          <w:szCs w:val="24"/>
        </w:rPr>
        <w:t xml:space="preserve">-based bulk </w:t>
      </w:r>
      <w:r w:rsidR="0029408B" w:rsidRPr="007414BB">
        <w:rPr>
          <w:kern w:val="24"/>
          <w:sz w:val="24"/>
          <w:szCs w:val="24"/>
        </w:rPr>
        <w:t>remittance via</w:t>
      </w:r>
      <w:r w:rsidR="002E15E4" w:rsidRPr="007414BB">
        <w:rPr>
          <w:kern w:val="24"/>
          <w:sz w:val="24"/>
          <w:szCs w:val="24"/>
        </w:rPr>
        <w:t xml:space="preserve"> </w:t>
      </w:r>
      <w:hyperlink w:anchor="SWIFT" w:history="1">
        <w:r w:rsidR="002E15E4" w:rsidRPr="008940FA">
          <w:rPr>
            <w:rStyle w:val="Hyperlink"/>
            <w:kern w:val="24"/>
            <w:sz w:val="24"/>
            <w:szCs w:val="24"/>
          </w:rPr>
          <w:t>SWIFT</w:t>
        </w:r>
      </w:hyperlink>
      <w:r w:rsidR="002E15E4" w:rsidRPr="007414BB">
        <w:rPr>
          <w:kern w:val="24"/>
          <w:sz w:val="24"/>
          <w:szCs w:val="24"/>
        </w:rPr>
        <w:t xml:space="preserve"> </w:t>
      </w:r>
    </w:p>
    <w:p w:rsidR="002E15E4" w:rsidRPr="007414BB" w:rsidRDefault="002E15E4" w:rsidP="002E15E4">
      <w:pPr>
        <w:pStyle w:val="NoSpacing"/>
        <w:rPr>
          <w:kern w:val="24"/>
          <w:sz w:val="24"/>
          <w:szCs w:val="24"/>
        </w:rPr>
      </w:pPr>
    </w:p>
    <w:p w:rsidR="002E15E4" w:rsidRDefault="002E15E4" w:rsidP="002E15E4">
      <w:pPr>
        <w:pStyle w:val="NoSpacing"/>
        <w:rPr>
          <w:kern w:val="24"/>
          <w:sz w:val="24"/>
          <w:szCs w:val="24"/>
        </w:rPr>
      </w:pPr>
      <w:r w:rsidRPr="007414BB">
        <w:rPr>
          <w:kern w:val="24"/>
          <w:sz w:val="24"/>
          <w:szCs w:val="24"/>
        </w:rPr>
        <w:t xml:space="preserve">This type of platform could be implemented as a fully functioning demonstration </w:t>
      </w:r>
      <w:r w:rsidR="0029408B" w:rsidRPr="007414BB">
        <w:rPr>
          <w:kern w:val="24"/>
          <w:sz w:val="24"/>
          <w:szCs w:val="24"/>
        </w:rPr>
        <w:t>within the</w:t>
      </w:r>
      <w:r w:rsidRPr="007414BB">
        <w:rPr>
          <w:kern w:val="24"/>
          <w:sz w:val="24"/>
          <w:szCs w:val="24"/>
        </w:rPr>
        <w:t xml:space="preserve"> </w:t>
      </w:r>
      <w:hyperlink w:anchor="HIMSSInteroperabilityShowcase" w:history="1">
        <w:r w:rsidRPr="005016DA">
          <w:rPr>
            <w:rStyle w:val="Hyperlink"/>
            <w:kern w:val="24"/>
            <w:sz w:val="24"/>
            <w:szCs w:val="24"/>
          </w:rPr>
          <w:t>HIMSS Interoperability Showcase</w:t>
        </w:r>
      </w:hyperlink>
      <w:r w:rsidRPr="007414BB">
        <w:rPr>
          <w:kern w:val="24"/>
          <w:sz w:val="24"/>
          <w:szCs w:val="24"/>
        </w:rPr>
        <w:t xml:space="preserve">. In addition, the demonstration could include workflow status and associated dashboards for </w:t>
      </w:r>
      <w:r w:rsidR="009419B4">
        <w:rPr>
          <w:kern w:val="24"/>
          <w:sz w:val="24"/>
          <w:szCs w:val="24"/>
        </w:rPr>
        <w:t xml:space="preserve">tracking transactions via a web </w:t>
      </w:r>
      <w:r w:rsidRPr="007414BB">
        <w:rPr>
          <w:kern w:val="24"/>
          <w:sz w:val="24"/>
          <w:szCs w:val="24"/>
        </w:rPr>
        <w:t xml:space="preserve">browser, with export to CSV or Excel formats that </w:t>
      </w:r>
      <w:r>
        <w:rPr>
          <w:kern w:val="24"/>
          <w:sz w:val="24"/>
          <w:szCs w:val="24"/>
        </w:rPr>
        <w:t>enable</w:t>
      </w:r>
      <w:r w:rsidRPr="007414BB">
        <w:rPr>
          <w:kern w:val="24"/>
          <w:sz w:val="24"/>
          <w:szCs w:val="24"/>
        </w:rPr>
        <w:t xml:space="preserve"> </w:t>
      </w:r>
      <w:hyperlink w:anchor="STP" w:history="1">
        <w:r w:rsidRPr="00425E01">
          <w:rPr>
            <w:rStyle w:val="Hyperlink"/>
            <w:kern w:val="24"/>
            <w:sz w:val="24"/>
            <w:szCs w:val="24"/>
          </w:rPr>
          <w:t>STP</w:t>
        </w:r>
      </w:hyperlink>
      <w:r w:rsidRPr="007414BB">
        <w:rPr>
          <w:kern w:val="24"/>
          <w:sz w:val="24"/>
          <w:szCs w:val="24"/>
        </w:rPr>
        <w:t xml:space="preserve"> integration with patient accounting systems</w:t>
      </w:r>
      <w:r>
        <w:rPr>
          <w:kern w:val="24"/>
          <w:sz w:val="24"/>
          <w:szCs w:val="24"/>
        </w:rPr>
        <w:t>.</w:t>
      </w:r>
    </w:p>
    <w:p w:rsidR="002E15E4" w:rsidRPr="00087288" w:rsidRDefault="002E15E4" w:rsidP="00CD6FBB">
      <w:pPr>
        <w:pStyle w:val="Heading3"/>
      </w:pPr>
      <w:bookmarkStart w:id="33" w:name="_Toc340052368"/>
      <w:bookmarkStart w:id="34" w:name="_Toc345348398"/>
      <w:r w:rsidRPr="00087288">
        <w:t>Use Case Summary</w:t>
      </w:r>
      <w:bookmarkEnd w:id="33"/>
      <w:bookmarkEnd w:id="34"/>
    </w:p>
    <w:p w:rsidR="002E15E4" w:rsidRPr="00BB0347" w:rsidRDefault="002E15E4" w:rsidP="002E15E4">
      <w:pPr>
        <w:jc w:val="center"/>
        <w:rPr>
          <w:rFonts w:cs="Calibri"/>
          <w:b/>
          <w:color w:val="000000"/>
          <w:kern w:val="24"/>
          <w:sz w:val="24"/>
          <w:szCs w:val="24"/>
        </w:rPr>
      </w:pPr>
      <w:r>
        <w:rPr>
          <w:rFonts w:cs="Calibri"/>
          <w:b/>
          <w:color w:val="000000"/>
          <w:kern w:val="24"/>
          <w:sz w:val="24"/>
          <w:szCs w:val="24"/>
        </w:rPr>
        <w:t xml:space="preserve">Use Case: </w:t>
      </w:r>
      <w:r w:rsidRPr="00FB368A">
        <w:rPr>
          <w:rFonts w:cs="Calibri"/>
          <w:b/>
          <w:color w:val="000000"/>
          <w:kern w:val="24"/>
          <w:sz w:val="24"/>
          <w:szCs w:val="24"/>
        </w:rPr>
        <w:t>Healthcare Payments Hub</w:t>
      </w:r>
      <w:r>
        <w:rPr>
          <w:rFonts w:cs="Calibri"/>
          <w:b/>
          <w:color w:val="000000"/>
          <w:kern w:val="24"/>
          <w:sz w:val="24"/>
          <w:szCs w:val="24"/>
        </w:rPr>
        <w:t xml:space="preserve"> and Value-Added Vendors</w:t>
      </w:r>
    </w:p>
    <w:tbl>
      <w:tblPr>
        <w:tblStyle w:val="LightShading1"/>
        <w:tblW w:w="0" w:type="auto"/>
        <w:tblLook w:val="04A0" w:firstRow="1" w:lastRow="0" w:firstColumn="1" w:lastColumn="0" w:noHBand="0" w:noVBand="1"/>
      </w:tblPr>
      <w:tblGrid>
        <w:gridCol w:w="2183"/>
        <w:gridCol w:w="3129"/>
        <w:gridCol w:w="4264"/>
      </w:tblGrid>
      <w:tr w:rsidR="002E15E4" w:rsidRPr="00D92292" w:rsidTr="000261D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8" w:type="dxa"/>
          </w:tcPr>
          <w:p w:rsidR="002E15E4" w:rsidRPr="00D92292" w:rsidRDefault="002E15E4" w:rsidP="008836EB">
            <w:pPr>
              <w:jc w:val="center"/>
              <w:rPr>
                <w:rFonts w:ascii="Times New Roman" w:hAnsi="Times New Roman" w:cs="Times New Roman"/>
                <w:color w:val="000000"/>
                <w:kern w:val="24"/>
              </w:rPr>
            </w:pPr>
            <w:r w:rsidRPr="00FB368A">
              <w:rPr>
                <w:rFonts w:ascii="Times New Roman" w:hAnsi="Times New Roman"/>
                <w:color w:val="000000"/>
                <w:kern w:val="24"/>
              </w:rPr>
              <w:t>Today’s Process</w:t>
            </w:r>
          </w:p>
        </w:tc>
        <w:tc>
          <w:tcPr>
            <w:tcW w:w="3420" w:type="dxa"/>
          </w:tcPr>
          <w:p w:rsidR="002E15E4" w:rsidRPr="00D92292" w:rsidRDefault="002E15E4" w:rsidP="008836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24"/>
              </w:rPr>
            </w:pPr>
            <w:r w:rsidRPr="00FB368A">
              <w:rPr>
                <w:rFonts w:ascii="Times New Roman" w:hAnsi="Times New Roman"/>
                <w:color w:val="000000"/>
                <w:kern w:val="24"/>
              </w:rPr>
              <w:t>Actor</w:t>
            </w:r>
          </w:p>
        </w:tc>
        <w:tc>
          <w:tcPr>
            <w:tcW w:w="4770" w:type="dxa"/>
          </w:tcPr>
          <w:p w:rsidR="002E15E4" w:rsidRDefault="002E15E4" w:rsidP="008836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B368A">
              <w:rPr>
                <w:rFonts w:ascii="Times New Roman" w:hAnsi="Times New Roman"/>
                <w:color w:val="auto"/>
                <w:kern w:val="24"/>
              </w:rPr>
              <w:t xml:space="preserve">What to </w:t>
            </w:r>
            <w:r>
              <w:rPr>
                <w:rFonts w:ascii="Times New Roman" w:hAnsi="Times New Roman" w:cs="Times New Roman"/>
                <w:color w:val="auto"/>
                <w:kern w:val="24"/>
              </w:rPr>
              <w:t xml:space="preserve">potentially </w:t>
            </w:r>
            <w:r w:rsidRPr="00FB368A">
              <w:rPr>
                <w:rFonts w:ascii="Times New Roman" w:hAnsi="Times New Roman"/>
                <w:color w:val="auto"/>
                <w:kern w:val="24"/>
              </w:rPr>
              <w:t>demo</w:t>
            </w:r>
            <w:r w:rsidRPr="00FB368A">
              <w:rPr>
                <w:rFonts w:ascii="Times New Roman" w:hAnsi="Times New Roman"/>
                <w:color w:val="auto"/>
              </w:rPr>
              <w:t>nstrate around this process</w:t>
            </w:r>
          </w:p>
        </w:tc>
      </w:tr>
      <w:tr w:rsidR="002E15E4" w:rsidRPr="00584FC7" w:rsidTr="000261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8" w:type="dxa"/>
          </w:tcPr>
          <w:p w:rsidR="002E15E4" w:rsidRPr="00584FC7" w:rsidRDefault="002E15E4" w:rsidP="008836EB">
            <w:pPr>
              <w:rPr>
                <w:rFonts w:asciiTheme="majorHAnsi" w:hAnsiTheme="majorHAnsi"/>
                <w:b w:val="0"/>
                <w:color w:val="232329" w:themeColor="text2" w:themeShade="80"/>
              </w:rPr>
            </w:pPr>
            <w:r w:rsidRPr="00090B63">
              <w:rPr>
                <w:rFonts w:asciiTheme="majorHAnsi" w:hAnsiTheme="majorHAnsi"/>
                <w:b w:val="0"/>
                <w:i/>
                <w:color w:val="232329" w:themeColor="text2" w:themeShade="80"/>
              </w:rPr>
              <w:t>Value-Added Vendor</w:t>
            </w:r>
            <w:r>
              <w:rPr>
                <w:rFonts w:asciiTheme="majorHAnsi" w:hAnsiTheme="majorHAnsi"/>
                <w:b w:val="0"/>
                <w:color w:val="232329" w:themeColor="text2" w:themeShade="80"/>
              </w:rPr>
              <w:t xml:space="preserve">: </w:t>
            </w:r>
            <w:r w:rsidRPr="00584FC7">
              <w:rPr>
                <w:rFonts w:asciiTheme="majorHAnsi" w:hAnsiTheme="majorHAnsi"/>
                <w:b w:val="0"/>
                <w:color w:val="232329" w:themeColor="text2" w:themeShade="80"/>
              </w:rPr>
              <w:t>Claim sent to payer by healthcare provider</w:t>
            </w:r>
          </w:p>
        </w:tc>
        <w:tc>
          <w:tcPr>
            <w:tcW w:w="3420" w:type="dxa"/>
          </w:tcPr>
          <w:p w:rsidR="002E15E4" w:rsidRPr="00584FC7" w:rsidRDefault="002E15E4" w:rsidP="008836E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232329" w:themeColor="text2" w:themeShade="80"/>
              </w:rPr>
            </w:pPr>
            <w:r>
              <w:rPr>
                <w:rFonts w:asciiTheme="majorHAnsi" w:hAnsiTheme="majorHAnsi"/>
                <w:color w:val="232329" w:themeColor="text2" w:themeShade="80"/>
              </w:rPr>
              <w:t>Health</w:t>
            </w:r>
            <w:r w:rsidRPr="00584FC7">
              <w:rPr>
                <w:rFonts w:asciiTheme="majorHAnsi" w:hAnsiTheme="majorHAnsi"/>
                <w:color w:val="232329" w:themeColor="text2" w:themeShade="80"/>
              </w:rPr>
              <w:t>care claims clearinghouse</w:t>
            </w:r>
          </w:p>
        </w:tc>
        <w:tc>
          <w:tcPr>
            <w:tcW w:w="4770" w:type="dxa"/>
          </w:tcPr>
          <w:p w:rsidR="002E15E4" w:rsidRPr="00584FC7" w:rsidRDefault="002E15E4" w:rsidP="008836E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232329" w:themeColor="text2" w:themeShade="80"/>
              </w:rPr>
            </w:pPr>
            <w:r>
              <w:rPr>
                <w:rFonts w:asciiTheme="majorHAnsi" w:hAnsiTheme="majorHAnsi"/>
                <w:color w:val="232329" w:themeColor="text2" w:themeShade="80"/>
              </w:rPr>
              <w:t>Eligibility process, a</w:t>
            </w:r>
            <w:r w:rsidRPr="00584FC7">
              <w:rPr>
                <w:rFonts w:asciiTheme="majorHAnsi" w:hAnsiTheme="majorHAnsi"/>
                <w:color w:val="232329" w:themeColor="text2" w:themeShade="80"/>
              </w:rPr>
              <w:t>uthorization process</w:t>
            </w:r>
            <w:r>
              <w:rPr>
                <w:rFonts w:asciiTheme="majorHAnsi" w:hAnsiTheme="majorHAnsi"/>
                <w:color w:val="232329" w:themeColor="text2" w:themeShade="80"/>
              </w:rPr>
              <w:t>, new edit methodologies, other.</w:t>
            </w:r>
          </w:p>
          <w:p w:rsidR="002E15E4" w:rsidRPr="00584FC7" w:rsidRDefault="002E15E4" w:rsidP="008836E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232329" w:themeColor="text2" w:themeShade="80"/>
              </w:rPr>
            </w:pPr>
          </w:p>
        </w:tc>
      </w:tr>
      <w:tr w:rsidR="002E15E4" w:rsidRPr="00584FC7" w:rsidTr="000261D6">
        <w:trPr>
          <w:cantSplit/>
        </w:trPr>
        <w:tc>
          <w:tcPr>
            <w:cnfStyle w:val="001000000000" w:firstRow="0" w:lastRow="0" w:firstColumn="1" w:lastColumn="0" w:oddVBand="0" w:evenVBand="0" w:oddHBand="0" w:evenHBand="0" w:firstRowFirstColumn="0" w:firstRowLastColumn="0" w:lastRowFirstColumn="0" w:lastRowLastColumn="0"/>
            <w:tcW w:w="2268" w:type="dxa"/>
          </w:tcPr>
          <w:p w:rsidR="002E15E4" w:rsidRPr="00584FC7" w:rsidRDefault="002E15E4" w:rsidP="008836EB">
            <w:pPr>
              <w:rPr>
                <w:rFonts w:asciiTheme="majorHAnsi" w:hAnsiTheme="majorHAnsi"/>
                <w:b w:val="0"/>
                <w:color w:val="232329" w:themeColor="text2" w:themeShade="80"/>
              </w:rPr>
            </w:pPr>
            <w:r>
              <w:rPr>
                <w:rFonts w:asciiTheme="majorHAnsi" w:hAnsiTheme="majorHAnsi"/>
                <w:b w:val="0"/>
                <w:color w:val="232329" w:themeColor="text2" w:themeShade="80"/>
              </w:rPr>
              <w:t xml:space="preserve">Value-Added Vendor: </w:t>
            </w:r>
            <w:r w:rsidRPr="00584FC7">
              <w:rPr>
                <w:rFonts w:asciiTheme="majorHAnsi" w:hAnsiTheme="majorHAnsi"/>
                <w:b w:val="0"/>
                <w:color w:val="232329" w:themeColor="text2" w:themeShade="80"/>
              </w:rPr>
              <w:t>Payer adjudicates</w:t>
            </w:r>
          </w:p>
        </w:tc>
        <w:tc>
          <w:tcPr>
            <w:tcW w:w="3420" w:type="dxa"/>
          </w:tcPr>
          <w:p w:rsidR="002E15E4" w:rsidRPr="00584FC7" w:rsidRDefault="002E15E4" w:rsidP="008836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232329" w:themeColor="text2" w:themeShade="80"/>
              </w:rPr>
            </w:pPr>
            <w:r>
              <w:rPr>
                <w:rFonts w:asciiTheme="majorHAnsi" w:hAnsiTheme="majorHAnsi"/>
                <w:color w:val="232329" w:themeColor="text2" w:themeShade="80"/>
              </w:rPr>
              <w:t>Payer and/or p</w:t>
            </w:r>
            <w:r w:rsidRPr="00584FC7">
              <w:rPr>
                <w:rFonts w:asciiTheme="majorHAnsi" w:hAnsiTheme="majorHAnsi"/>
                <w:color w:val="232329" w:themeColor="text2" w:themeShade="80"/>
              </w:rPr>
              <w:t>ayer’s vendor</w:t>
            </w:r>
          </w:p>
        </w:tc>
        <w:tc>
          <w:tcPr>
            <w:tcW w:w="4770" w:type="dxa"/>
          </w:tcPr>
          <w:p w:rsidR="002E15E4" w:rsidRPr="00584FC7" w:rsidRDefault="002E15E4" w:rsidP="008836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232329" w:themeColor="text2" w:themeShade="80"/>
              </w:rPr>
            </w:pPr>
            <w:r w:rsidRPr="00584FC7">
              <w:rPr>
                <w:rFonts w:asciiTheme="majorHAnsi" w:hAnsiTheme="majorHAnsi"/>
                <w:color w:val="232329" w:themeColor="text2" w:themeShade="80"/>
              </w:rPr>
              <w:t>Advanced payer platform that expedites adjudication process; could demonstrate a real time process for some claims that are eligibl</w:t>
            </w:r>
            <w:r>
              <w:rPr>
                <w:rFonts w:asciiTheme="majorHAnsi" w:hAnsiTheme="majorHAnsi"/>
                <w:color w:val="232329" w:themeColor="text2" w:themeShade="80"/>
              </w:rPr>
              <w:t>e for processing in this manner</w:t>
            </w:r>
          </w:p>
        </w:tc>
      </w:tr>
      <w:tr w:rsidR="002E15E4" w:rsidRPr="00584FC7" w:rsidTr="000261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8" w:type="dxa"/>
          </w:tcPr>
          <w:p w:rsidR="002E15E4" w:rsidRPr="00584FC7" w:rsidRDefault="002E15E4" w:rsidP="008836EB">
            <w:pPr>
              <w:rPr>
                <w:rFonts w:asciiTheme="majorHAnsi" w:hAnsiTheme="majorHAnsi"/>
                <w:b w:val="0"/>
                <w:color w:val="232329" w:themeColor="text2" w:themeShade="80"/>
              </w:rPr>
            </w:pPr>
            <w:r>
              <w:rPr>
                <w:rFonts w:asciiTheme="majorHAnsi" w:hAnsiTheme="majorHAnsi"/>
                <w:color w:val="232329" w:themeColor="text2" w:themeShade="80"/>
              </w:rPr>
              <w:t>HUB:</w:t>
            </w:r>
            <w:r w:rsidRPr="00584FC7">
              <w:rPr>
                <w:rFonts w:asciiTheme="majorHAnsi" w:hAnsiTheme="majorHAnsi"/>
                <w:b w:val="0"/>
                <w:color w:val="232329" w:themeColor="text2" w:themeShade="80"/>
              </w:rPr>
              <w:t xml:space="preserve">Payment batch file released </w:t>
            </w:r>
          </w:p>
        </w:tc>
        <w:tc>
          <w:tcPr>
            <w:tcW w:w="3420" w:type="dxa"/>
          </w:tcPr>
          <w:p w:rsidR="002E15E4" w:rsidRPr="00584FC7" w:rsidRDefault="002E15E4" w:rsidP="008836E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232329" w:themeColor="text2" w:themeShade="80"/>
              </w:rPr>
            </w:pPr>
            <w:r w:rsidRPr="00584FC7">
              <w:rPr>
                <w:rFonts w:asciiTheme="majorHAnsi" w:hAnsiTheme="majorHAnsi"/>
                <w:color w:val="232329" w:themeColor="text2" w:themeShade="80"/>
              </w:rPr>
              <w:t>Payer’s third party and/or bank that provides AP services</w:t>
            </w:r>
          </w:p>
        </w:tc>
        <w:tc>
          <w:tcPr>
            <w:tcW w:w="4770" w:type="dxa"/>
          </w:tcPr>
          <w:p w:rsidR="002E15E4" w:rsidRPr="00584FC7" w:rsidRDefault="002E15E4" w:rsidP="008836E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232329" w:themeColor="text2" w:themeShade="80"/>
              </w:rPr>
            </w:pPr>
            <w:r w:rsidRPr="00584FC7">
              <w:rPr>
                <w:rFonts w:asciiTheme="majorHAnsi" w:hAnsiTheme="majorHAnsi"/>
                <w:color w:val="232329" w:themeColor="text2" w:themeShade="80"/>
              </w:rPr>
              <w:t>Show how the file is “spliced” and payments are executed via electronic process or paper process or other. Of particular note: what happens to the paymen</w:t>
            </w:r>
            <w:r>
              <w:rPr>
                <w:rFonts w:asciiTheme="majorHAnsi" w:hAnsiTheme="majorHAnsi"/>
                <w:color w:val="232329" w:themeColor="text2" w:themeShade="80"/>
              </w:rPr>
              <w:t>t and the associated remittance</w:t>
            </w:r>
          </w:p>
        </w:tc>
      </w:tr>
      <w:tr w:rsidR="002E15E4" w:rsidRPr="00584FC7" w:rsidTr="000261D6">
        <w:trPr>
          <w:cantSplit/>
        </w:trPr>
        <w:tc>
          <w:tcPr>
            <w:cnfStyle w:val="001000000000" w:firstRow="0" w:lastRow="0" w:firstColumn="1" w:lastColumn="0" w:oddVBand="0" w:evenVBand="0" w:oddHBand="0" w:evenHBand="0" w:firstRowFirstColumn="0" w:firstRowLastColumn="0" w:lastRowFirstColumn="0" w:lastRowLastColumn="0"/>
            <w:tcW w:w="2268" w:type="dxa"/>
          </w:tcPr>
          <w:p w:rsidR="002E15E4" w:rsidRPr="00584FC7" w:rsidRDefault="002E15E4" w:rsidP="008836EB">
            <w:pPr>
              <w:rPr>
                <w:rFonts w:asciiTheme="majorHAnsi" w:hAnsiTheme="majorHAnsi"/>
                <w:b w:val="0"/>
                <w:color w:val="232329" w:themeColor="text2" w:themeShade="80"/>
              </w:rPr>
            </w:pPr>
            <w:r>
              <w:rPr>
                <w:rFonts w:asciiTheme="majorHAnsi" w:hAnsiTheme="majorHAnsi"/>
                <w:color w:val="232329" w:themeColor="text2" w:themeShade="80"/>
              </w:rPr>
              <w:t>HUB:</w:t>
            </w:r>
            <w:r w:rsidRPr="00584FC7">
              <w:rPr>
                <w:rFonts w:asciiTheme="majorHAnsi" w:hAnsiTheme="majorHAnsi"/>
                <w:b w:val="0"/>
                <w:color w:val="232329" w:themeColor="text2" w:themeShade="80"/>
              </w:rPr>
              <w:t>Payment is processed by financial institutions</w:t>
            </w:r>
          </w:p>
        </w:tc>
        <w:tc>
          <w:tcPr>
            <w:tcW w:w="3420" w:type="dxa"/>
          </w:tcPr>
          <w:p w:rsidR="002E15E4" w:rsidRPr="00584FC7" w:rsidRDefault="002E15E4" w:rsidP="008836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232329" w:themeColor="text2" w:themeShade="80"/>
              </w:rPr>
            </w:pPr>
            <w:r w:rsidRPr="00584FC7">
              <w:rPr>
                <w:rFonts w:asciiTheme="majorHAnsi" w:hAnsiTheme="majorHAnsi"/>
                <w:color w:val="232329" w:themeColor="text2" w:themeShade="80"/>
              </w:rPr>
              <w:t xml:space="preserve">For </w:t>
            </w:r>
            <w:hyperlink w:anchor="EFT" w:history="1">
              <w:r w:rsidRPr="006B6165">
                <w:rPr>
                  <w:rStyle w:val="Hyperlink"/>
                  <w:rFonts w:asciiTheme="majorHAnsi" w:hAnsiTheme="majorHAnsi"/>
                </w:rPr>
                <w:t>EFT</w:t>
              </w:r>
            </w:hyperlink>
            <w:r w:rsidRPr="00584FC7">
              <w:rPr>
                <w:rFonts w:asciiTheme="majorHAnsi" w:hAnsiTheme="majorHAnsi"/>
                <w:color w:val="232329" w:themeColor="text2" w:themeShade="80"/>
              </w:rPr>
              <w:t xml:space="preserve">, </w:t>
            </w:r>
            <w:hyperlink w:anchor="NACHAACH" w:history="1">
              <w:r w:rsidRPr="002A75A9">
                <w:rPr>
                  <w:rStyle w:val="Hyperlink"/>
                  <w:rFonts w:asciiTheme="majorHAnsi" w:hAnsiTheme="majorHAnsi"/>
                </w:rPr>
                <w:t>NACHA</w:t>
              </w:r>
            </w:hyperlink>
            <w:r w:rsidRPr="00584FC7">
              <w:rPr>
                <w:rFonts w:asciiTheme="majorHAnsi" w:hAnsiTheme="majorHAnsi"/>
                <w:color w:val="232329" w:themeColor="text2" w:themeShade="80"/>
              </w:rPr>
              <w:t xml:space="preserve"> and/or </w:t>
            </w:r>
            <w:hyperlink w:anchor="SWIFT" w:history="1">
              <w:r w:rsidRPr="008940FA">
                <w:rPr>
                  <w:rStyle w:val="Hyperlink"/>
                  <w:rFonts w:asciiTheme="majorHAnsi" w:hAnsiTheme="majorHAnsi"/>
                </w:rPr>
                <w:t>SWIFT</w:t>
              </w:r>
            </w:hyperlink>
            <w:r w:rsidRPr="00584FC7">
              <w:rPr>
                <w:rFonts w:asciiTheme="majorHAnsi" w:hAnsiTheme="majorHAnsi"/>
                <w:color w:val="232329" w:themeColor="text2" w:themeShade="80"/>
              </w:rPr>
              <w:t xml:space="preserve"> could play a role here</w:t>
            </w:r>
          </w:p>
        </w:tc>
        <w:tc>
          <w:tcPr>
            <w:tcW w:w="4770" w:type="dxa"/>
          </w:tcPr>
          <w:p w:rsidR="002E15E4" w:rsidRPr="00584FC7" w:rsidRDefault="002E15E4" w:rsidP="008836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232329" w:themeColor="text2" w:themeShade="80"/>
              </w:rPr>
            </w:pPr>
            <w:r w:rsidRPr="00584FC7">
              <w:rPr>
                <w:rFonts w:asciiTheme="majorHAnsi" w:hAnsiTheme="majorHAnsi"/>
                <w:color w:val="232329" w:themeColor="text2" w:themeShade="80"/>
              </w:rPr>
              <w:t xml:space="preserve">Show the movement of </w:t>
            </w:r>
            <w:hyperlink w:anchor="EFT" w:history="1">
              <w:r w:rsidRPr="006B6165">
                <w:rPr>
                  <w:rStyle w:val="Hyperlink"/>
                  <w:rFonts w:asciiTheme="majorHAnsi" w:hAnsiTheme="majorHAnsi"/>
                </w:rPr>
                <w:t>EFT</w:t>
              </w:r>
            </w:hyperlink>
            <w:r w:rsidRPr="00584FC7">
              <w:rPr>
                <w:rFonts w:asciiTheme="majorHAnsi" w:hAnsiTheme="majorHAnsi"/>
                <w:color w:val="232329" w:themeColor="text2" w:themeShade="80"/>
              </w:rPr>
              <w:t>/</w:t>
            </w:r>
            <w:hyperlink w:anchor="ERA" w:history="1">
              <w:r w:rsidRPr="00F37718">
                <w:rPr>
                  <w:rStyle w:val="Hyperlink"/>
                  <w:rFonts w:asciiTheme="majorHAnsi" w:hAnsiTheme="majorHAnsi"/>
                </w:rPr>
                <w:t>ERA</w:t>
              </w:r>
            </w:hyperlink>
            <w:r w:rsidRPr="00584FC7">
              <w:rPr>
                <w:rFonts w:asciiTheme="majorHAnsi" w:hAnsiTheme="majorHAnsi"/>
                <w:color w:val="232329" w:themeColor="text2" w:themeShade="80"/>
              </w:rPr>
              <w:t xml:space="preserve"> linked together, or, show their movement separate but with the</w:t>
            </w:r>
            <w:r>
              <w:rPr>
                <w:rFonts w:asciiTheme="majorHAnsi" w:hAnsiTheme="majorHAnsi"/>
                <w:color w:val="232329" w:themeColor="text2" w:themeShade="80"/>
              </w:rPr>
              <w:t xml:space="preserve"> bank </w:t>
            </w:r>
            <w:r w:rsidRPr="00584FC7">
              <w:rPr>
                <w:rFonts w:asciiTheme="majorHAnsi" w:hAnsiTheme="majorHAnsi"/>
                <w:color w:val="232329" w:themeColor="text2" w:themeShade="80"/>
              </w:rPr>
              <w:t>having the abi</w:t>
            </w:r>
            <w:r>
              <w:rPr>
                <w:rFonts w:asciiTheme="majorHAnsi" w:hAnsiTheme="majorHAnsi"/>
                <w:color w:val="232329" w:themeColor="text2" w:themeShade="80"/>
              </w:rPr>
              <w:t>lity to link (or a third party)</w:t>
            </w:r>
          </w:p>
        </w:tc>
      </w:tr>
      <w:tr w:rsidR="002E15E4" w:rsidRPr="00584FC7" w:rsidTr="000261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8" w:type="dxa"/>
          </w:tcPr>
          <w:p w:rsidR="002E15E4" w:rsidRPr="00584FC7" w:rsidRDefault="002E15E4" w:rsidP="008836EB">
            <w:pPr>
              <w:rPr>
                <w:rFonts w:asciiTheme="majorHAnsi" w:hAnsiTheme="majorHAnsi"/>
                <w:b w:val="0"/>
                <w:color w:val="232329" w:themeColor="text2" w:themeShade="80"/>
              </w:rPr>
            </w:pPr>
            <w:r>
              <w:rPr>
                <w:rFonts w:asciiTheme="majorHAnsi" w:hAnsiTheme="majorHAnsi"/>
                <w:color w:val="232329" w:themeColor="text2" w:themeShade="80"/>
              </w:rPr>
              <w:lastRenderedPageBreak/>
              <w:t>HUB:</w:t>
            </w:r>
            <w:r w:rsidRPr="00584FC7">
              <w:rPr>
                <w:rFonts w:asciiTheme="majorHAnsi" w:hAnsiTheme="majorHAnsi"/>
                <w:b w:val="0"/>
                <w:color w:val="232329" w:themeColor="text2" w:themeShade="80"/>
              </w:rPr>
              <w:t>Payment is reconciled to the provider’s bank account</w:t>
            </w:r>
          </w:p>
        </w:tc>
        <w:tc>
          <w:tcPr>
            <w:tcW w:w="3420" w:type="dxa"/>
          </w:tcPr>
          <w:p w:rsidR="002E15E4" w:rsidRPr="00584FC7" w:rsidRDefault="002E15E4" w:rsidP="008836E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232329" w:themeColor="text2" w:themeShade="80"/>
              </w:rPr>
            </w:pPr>
            <w:r w:rsidRPr="00584FC7">
              <w:rPr>
                <w:rFonts w:asciiTheme="majorHAnsi" w:hAnsiTheme="majorHAnsi"/>
                <w:color w:val="232329" w:themeColor="text2" w:themeShade="80"/>
              </w:rPr>
              <w:t>Commercial Bank: RDFI or Lockbox, Lockbox Vendor, Third party application service providers</w:t>
            </w:r>
          </w:p>
        </w:tc>
        <w:tc>
          <w:tcPr>
            <w:tcW w:w="4770" w:type="dxa"/>
          </w:tcPr>
          <w:p w:rsidR="002E15E4" w:rsidRPr="00584FC7" w:rsidRDefault="002E15E4" w:rsidP="008836E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232329" w:themeColor="text2" w:themeShade="80"/>
              </w:rPr>
            </w:pPr>
            <w:r w:rsidRPr="00584FC7">
              <w:rPr>
                <w:rFonts w:asciiTheme="majorHAnsi" w:hAnsiTheme="majorHAnsi"/>
                <w:color w:val="232329" w:themeColor="text2" w:themeShade="80"/>
              </w:rPr>
              <w:t>Show the process of reconciliation – a</w:t>
            </w:r>
            <w:r>
              <w:rPr>
                <w:rFonts w:asciiTheme="majorHAnsi" w:hAnsiTheme="majorHAnsi"/>
                <w:color w:val="232329" w:themeColor="text2" w:themeShade="80"/>
              </w:rPr>
              <w:t xml:space="preserve"> major sore point for providers</w:t>
            </w:r>
          </w:p>
        </w:tc>
      </w:tr>
      <w:tr w:rsidR="002E15E4" w:rsidRPr="00584FC7" w:rsidTr="000261D6">
        <w:trPr>
          <w:cantSplit/>
        </w:trPr>
        <w:tc>
          <w:tcPr>
            <w:cnfStyle w:val="001000000000" w:firstRow="0" w:lastRow="0" w:firstColumn="1" w:lastColumn="0" w:oddVBand="0" w:evenVBand="0" w:oddHBand="0" w:evenHBand="0" w:firstRowFirstColumn="0" w:firstRowLastColumn="0" w:lastRowFirstColumn="0" w:lastRowLastColumn="0"/>
            <w:tcW w:w="2268" w:type="dxa"/>
          </w:tcPr>
          <w:p w:rsidR="002E15E4" w:rsidRPr="00584FC7" w:rsidRDefault="002E15E4" w:rsidP="008836EB">
            <w:pPr>
              <w:rPr>
                <w:rFonts w:asciiTheme="majorHAnsi" w:hAnsiTheme="majorHAnsi"/>
                <w:b w:val="0"/>
                <w:color w:val="232329" w:themeColor="text2" w:themeShade="80"/>
              </w:rPr>
            </w:pPr>
            <w:r w:rsidRPr="00090B63">
              <w:rPr>
                <w:rFonts w:asciiTheme="majorHAnsi" w:hAnsiTheme="majorHAnsi"/>
                <w:b w:val="0"/>
                <w:i/>
                <w:color w:val="232329" w:themeColor="text2" w:themeShade="80"/>
              </w:rPr>
              <w:t>Value Added Vendor</w:t>
            </w:r>
            <w:r>
              <w:rPr>
                <w:rFonts w:asciiTheme="majorHAnsi" w:hAnsiTheme="majorHAnsi"/>
                <w:b w:val="0"/>
                <w:color w:val="232329" w:themeColor="text2" w:themeShade="80"/>
              </w:rPr>
              <w:t xml:space="preserve">: </w:t>
            </w:r>
            <w:r w:rsidRPr="00584FC7">
              <w:rPr>
                <w:rFonts w:asciiTheme="majorHAnsi" w:hAnsiTheme="majorHAnsi"/>
                <w:b w:val="0"/>
                <w:color w:val="232329" w:themeColor="text2" w:themeShade="80"/>
              </w:rPr>
              <w:t xml:space="preserve">Payment is posted to patient accounting </w:t>
            </w:r>
            <w:r w:rsidRPr="00090B63">
              <w:rPr>
                <w:rFonts w:asciiTheme="majorHAnsi" w:hAnsiTheme="majorHAnsi"/>
                <w:b w:val="0"/>
                <w:color w:val="232329" w:themeColor="text2" w:themeShade="80"/>
              </w:rPr>
              <w:t>platform – comprehensive posting: cash posted, contractuals, reject notes, financial class updates</w:t>
            </w:r>
          </w:p>
        </w:tc>
        <w:tc>
          <w:tcPr>
            <w:tcW w:w="3420" w:type="dxa"/>
          </w:tcPr>
          <w:p w:rsidR="002E15E4" w:rsidRPr="00584FC7" w:rsidRDefault="002E15E4" w:rsidP="008836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232329" w:themeColor="text2" w:themeShade="80"/>
              </w:rPr>
            </w:pPr>
            <w:r>
              <w:rPr>
                <w:rFonts w:asciiTheme="majorHAnsi" w:hAnsiTheme="majorHAnsi"/>
                <w:color w:val="232329" w:themeColor="text2" w:themeShade="80"/>
              </w:rPr>
              <w:t>HIS,</w:t>
            </w:r>
            <w:r w:rsidRPr="00584FC7">
              <w:rPr>
                <w:rFonts w:asciiTheme="majorHAnsi" w:hAnsiTheme="majorHAnsi"/>
                <w:color w:val="232329" w:themeColor="text2" w:themeShade="80"/>
              </w:rPr>
              <w:t xml:space="preserve"> specialized application vendor (claims clearinghouses with this capability</w:t>
            </w:r>
            <w:r>
              <w:rPr>
                <w:rFonts w:asciiTheme="majorHAnsi" w:hAnsiTheme="majorHAnsi"/>
                <w:color w:val="232329" w:themeColor="text2" w:themeShade="80"/>
              </w:rPr>
              <w:t>, etc.)</w:t>
            </w:r>
          </w:p>
        </w:tc>
        <w:tc>
          <w:tcPr>
            <w:tcW w:w="4770" w:type="dxa"/>
          </w:tcPr>
          <w:p w:rsidR="002E15E4" w:rsidRPr="00584FC7" w:rsidRDefault="002E15E4" w:rsidP="008836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232329" w:themeColor="text2" w:themeShade="80"/>
              </w:rPr>
            </w:pPr>
            <w:r w:rsidRPr="00584FC7">
              <w:rPr>
                <w:rFonts w:asciiTheme="majorHAnsi" w:hAnsiTheme="majorHAnsi"/>
                <w:color w:val="232329" w:themeColor="text2" w:themeShade="80"/>
              </w:rPr>
              <w:t xml:space="preserve">Show the benefit of moving all the paper </w:t>
            </w:r>
            <w:hyperlink w:anchor="EOB" w:history="1">
              <w:r w:rsidRPr="00F37718">
                <w:rPr>
                  <w:rStyle w:val="Hyperlink"/>
                  <w:rFonts w:asciiTheme="majorHAnsi" w:hAnsiTheme="majorHAnsi"/>
                </w:rPr>
                <w:t>EOB</w:t>
              </w:r>
            </w:hyperlink>
            <w:r w:rsidRPr="00584FC7">
              <w:rPr>
                <w:rFonts w:asciiTheme="majorHAnsi" w:hAnsiTheme="majorHAnsi"/>
                <w:color w:val="232329" w:themeColor="text2" w:themeShade="80"/>
              </w:rPr>
              <w:t>s through a digitized process for remittance management</w:t>
            </w:r>
          </w:p>
        </w:tc>
      </w:tr>
      <w:tr w:rsidR="002E15E4" w:rsidRPr="00584FC7" w:rsidTr="000261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8" w:type="dxa"/>
          </w:tcPr>
          <w:p w:rsidR="002E15E4" w:rsidRPr="00BB0347" w:rsidRDefault="002E15E4" w:rsidP="008836EB">
            <w:pPr>
              <w:spacing w:before="40" w:after="20"/>
              <w:rPr>
                <w:rFonts w:asciiTheme="majorHAnsi" w:hAnsiTheme="majorHAnsi"/>
                <w:b w:val="0"/>
                <w:color w:val="232329" w:themeColor="text2" w:themeShade="80"/>
              </w:rPr>
            </w:pPr>
            <w:r w:rsidRPr="00090B63">
              <w:rPr>
                <w:rFonts w:asciiTheme="majorHAnsi" w:hAnsiTheme="majorHAnsi"/>
                <w:b w:val="0"/>
                <w:i/>
                <w:color w:val="232329" w:themeColor="text2" w:themeShade="80"/>
              </w:rPr>
              <w:t>Value-Added Vendor:</w:t>
            </w:r>
            <w:r w:rsidRPr="00090B63">
              <w:rPr>
                <w:rFonts w:asciiTheme="majorHAnsi" w:hAnsiTheme="majorHAnsi"/>
                <w:b w:val="0"/>
                <w:color w:val="232329" w:themeColor="text2" w:themeShade="80"/>
              </w:rPr>
              <w:t>Denial management</w:t>
            </w:r>
          </w:p>
        </w:tc>
        <w:tc>
          <w:tcPr>
            <w:tcW w:w="3420" w:type="dxa"/>
          </w:tcPr>
          <w:p w:rsidR="002E15E4" w:rsidRPr="00584FC7" w:rsidRDefault="002E15E4" w:rsidP="008836E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232329" w:themeColor="text2" w:themeShade="80"/>
              </w:rPr>
            </w:pPr>
            <w:r w:rsidRPr="00584FC7">
              <w:rPr>
                <w:rFonts w:asciiTheme="majorHAnsi" w:hAnsiTheme="majorHAnsi"/>
                <w:color w:val="232329" w:themeColor="text2" w:themeShade="80"/>
              </w:rPr>
              <w:t xml:space="preserve">Denial management vendors </w:t>
            </w:r>
          </w:p>
        </w:tc>
        <w:tc>
          <w:tcPr>
            <w:tcW w:w="4770" w:type="dxa"/>
          </w:tcPr>
          <w:p w:rsidR="002E15E4" w:rsidRPr="00584FC7" w:rsidRDefault="002E15E4" w:rsidP="008836E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232329" w:themeColor="text2" w:themeShade="80"/>
              </w:rPr>
            </w:pPr>
            <w:r w:rsidRPr="00584FC7">
              <w:rPr>
                <w:rFonts w:asciiTheme="majorHAnsi" w:hAnsiTheme="majorHAnsi"/>
                <w:color w:val="232329" w:themeColor="text2" w:themeShade="80"/>
              </w:rPr>
              <w:t>Show automated denial management routines versus paper-based</w:t>
            </w:r>
          </w:p>
        </w:tc>
      </w:tr>
      <w:tr w:rsidR="002E15E4" w:rsidRPr="00584FC7" w:rsidTr="000261D6">
        <w:trPr>
          <w:cantSplit/>
        </w:trPr>
        <w:tc>
          <w:tcPr>
            <w:cnfStyle w:val="001000000000" w:firstRow="0" w:lastRow="0" w:firstColumn="1" w:lastColumn="0" w:oddVBand="0" w:evenVBand="0" w:oddHBand="0" w:evenHBand="0" w:firstRowFirstColumn="0" w:firstRowLastColumn="0" w:lastRowFirstColumn="0" w:lastRowLastColumn="0"/>
            <w:tcW w:w="2268" w:type="dxa"/>
          </w:tcPr>
          <w:p w:rsidR="002E15E4" w:rsidRPr="00090B63" w:rsidRDefault="002E15E4" w:rsidP="008836EB">
            <w:pPr>
              <w:rPr>
                <w:rFonts w:asciiTheme="majorHAnsi" w:hAnsiTheme="majorHAnsi"/>
                <w:b w:val="0"/>
                <w:color w:val="232329" w:themeColor="text2" w:themeShade="80"/>
              </w:rPr>
            </w:pPr>
            <w:r w:rsidRPr="00090B63">
              <w:rPr>
                <w:rFonts w:asciiTheme="majorHAnsi" w:hAnsiTheme="majorHAnsi"/>
                <w:b w:val="0"/>
                <w:i/>
                <w:color w:val="232329" w:themeColor="text2" w:themeShade="80"/>
              </w:rPr>
              <w:t>Value-Added Vendor</w:t>
            </w:r>
            <w:r>
              <w:rPr>
                <w:rFonts w:asciiTheme="majorHAnsi" w:hAnsiTheme="majorHAnsi"/>
                <w:b w:val="0"/>
                <w:color w:val="232329" w:themeColor="text2" w:themeShade="80"/>
              </w:rPr>
              <w:t>:</w:t>
            </w:r>
            <w:r w:rsidRPr="00090B63">
              <w:rPr>
                <w:rFonts w:asciiTheme="majorHAnsi" w:hAnsiTheme="majorHAnsi"/>
                <w:b w:val="0"/>
                <w:color w:val="232329" w:themeColor="text2" w:themeShade="80"/>
              </w:rPr>
              <w:t>Contract Management</w:t>
            </w:r>
          </w:p>
        </w:tc>
        <w:tc>
          <w:tcPr>
            <w:tcW w:w="3420" w:type="dxa"/>
          </w:tcPr>
          <w:p w:rsidR="002E15E4" w:rsidRPr="00584FC7" w:rsidRDefault="002E15E4" w:rsidP="008836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232329" w:themeColor="text2" w:themeShade="80"/>
              </w:rPr>
            </w:pPr>
            <w:r w:rsidRPr="00584FC7">
              <w:rPr>
                <w:rFonts w:asciiTheme="majorHAnsi" w:hAnsiTheme="majorHAnsi"/>
                <w:color w:val="232329" w:themeColor="text2" w:themeShade="80"/>
              </w:rPr>
              <w:t>Contract management vendors</w:t>
            </w:r>
          </w:p>
        </w:tc>
        <w:tc>
          <w:tcPr>
            <w:tcW w:w="4770" w:type="dxa"/>
          </w:tcPr>
          <w:p w:rsidR="002E15E4" w:rsidRPr="00584FC7" w:rsidRDefault="002E15E4" w:rsidP="008836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232329" w:themeColor="text2" w:themeShade="80"/>
              </w:rPr>
            </w:pPr>
            <w:r w:rsidRPr="00584FC7">
              <w:rPr>
                <w:rFonts w:asciiTheme="majorHAnsi" w:hAnsiTheme="majorHAnsi"/>
                <w:color w:val="232329" w:themeColor="text2" w:themeShade="80"/>
              </w:rPr>
              <w:t>(same as above except for contract management)</w:t>
            </w:r>
          </w:p>
        </w:tc>
      </w:tr>
      <w:tr w:rsidR="002E15E4" w:rsidRPr="00584FC7" w:rsidTr="000261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8" w:type="dxa"/>
          </w:tcPr>
          <w:p w:rsidR="002E15E4" w:rsidRDefault="002E15E4" w:rsidP="008836EB">
            <w:pPr>
              <w:rPr>
                <w:rFonts w:asciiTheme="majorHAnsi" w:hAnsiTheme="majorHAnsi"/>
                <w:b w:val="0"/>
                <w:color w:val="232329" w:themeColor="text2" w:themeShade="80"/>
              </w:rPr>
            </w:pPr>
            <w:r w:rsidRPr="00090B63">
              <w:rPr>
                <w:rFonts w:asciiTheme="majorHAnsi" w:hAnsiTheme="majorHAnsi"/>
                <w:b w:val="0"/>
                <w:i/>
                <w:color w:val="232329" w:themeColor="text2" w:themeShade="80"/>
              </w:rPr>
              <w:t>Value-Added Vendor</w:t>
            </w:r>
            <w:r>
              <w:rPr>
                <w:rFonts w:asciiTheme="majorHAnsi" w:hAnsiTheme="majorHAnsi"/>
                <w:b w:val="0"/>
                <w:color w:val="232329" w:themeColor="text2" w:themeShade="80"/>
              </w:rPr>
              <w:t>:</w:t>
            </w:r>
          </w:p>
          <w:p w:rsidR="002E15E4" w:rsidRPr="00090B63" w:rsidRDefault="002E15E4" w:rsidP="008836EB">
            <w:pPr>
              <w:rPr>
                <w:rFonts w:asciiTheme="majorHAnsi" w:hAnsiTheme="majorHAnsi"/>
                <w:b w:val="0"/>
                <w:color w:val="232329" w:themeColor="text2" w:themeShade="80"/>
              </w:rPr>
            </w:pPr>
            <w:r w:rsidRPr="00090B63">
              <w:rPr>
                <w:rFonts w:asciiTheme="majorHAnsi" w:hAnsiTheme="majorHAnsi"/>
                <w:b w:val="0"/>
                <w:color w:val="232329" w:themeColor="text2" w:themeShade="80"/>
              </w:rPr>
              <w:t>Business Intelligence Analytics for enterprise or practice management</w:t>
            </w:r>
          </w:p>
        </w:tc>
        <w:tc>
          <w:tcPr>
            <w:tcW w:w="3420" w:type="dxa"/>
          </w:tcPr>
          <w:p w:rsidR="002E15E4" w:rsidRPr="00584FC7" w:rsidRDefault="002E15E4" w:rsidP="008836E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232329" w:themeColor="text2" w:themeShade="80"/>
              </w:rPr>
            </w:pPr>
            <w:r w:rsidRPr="00584FC7">
              <w:rPr>
                <w:rFonts w:asciiTheme="majorHAnsi" w:hAnsiTheme="majorHAnsi"/>
                <w:color w:val="232329" w:themeColor="text2" w:themeShade="80"/>
              </w:rPr>
              <w:t xml:space="preserve">Analytic IT vendors that use the remittance data to assist in </w:t>
            </w:r>
            <w:r w:rsidRPr="000602B1">
              <w:rPr>
                <w:rFonts w:asciiTheme="majorHAnsi" w:hAnsiTheme="majorHAnsi"/>
                <w:color w:val="232329" w:themeColor="text2" w:themeShade="80"/>
              </w:rPr>
              <w:t>enterprise decisioning</w:t>
            </w:r>
          </w:p>
        </w:tc>
        <w:tc>
          <w:tcPr>
            <w:tcW w:w="4770" w:type="dxa"/>
          </w:tcPr>
          <w:p w:rsidR="002E15E4" w:rsidRPr="00584FC7" w:rsidRDefault="002E15E4" w:rsidP="008836E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232329" w:themeColor="text2" w:themeShade="80"/>
              </w:rPr>
            </w:pPr>
            <w:r w:rsidRPr="00584FC7">
              <w:rPr>
                <w:rFonts w:asciiTheme="majorHAnsi" w:hAnsiTheme="majorHAnsi"/>
                <w:color w:val="232329" w:themeColor="text2" w:themeShade="80"/>
              </w:rPr>
              <w:t xml:space="preserve">Show the relative value of enterprise </w:t>
            </w:r>
            <w:r w:rsidRPr="000602B1">
              <w:rPr>
                <w:rFonts w:asciiTheme="majorHAnsi" w:hAnsiTheme="majorHAnsi"/>
                <w:color w:val="232329" w:themeColor="text2" w:themeShade="80"/>
              </w:rPr>
              <w:t>decisioning</w:t>
            </w:r>
            <w:r w:rsidR="0029408B">
              <w:rPr>
                <w:rFonts w:asciiTheme="majorHAnsi" w:hAnsiTheme="majorHAnsi"/>
                <w:color w:val="232329" w:themeColor="text2" w:themeShade="80"/>
              </w:rPr>
              <w:t xml:space="preserve"> </w:t>
            </w:r>
            <w:r w:rsidRPr="00584FC7">
              <w:rPr>
                <w:rFonts w:asciiTheme="majorHAnsi" w:hAnsiTheme="majorHAnsi"/>
                <w:color w:val="232329" w:themeColor="text2" w:themeShade="80"/>
              </w:rPr>
              <w:t>using automated processes versus manual/paper processes (including mitigation of paper-based errors that propagate through revenue cycle and the making of bad decisions).</w:t>
            </w:r>
          </w:p>
        </w:tc>
      </w:tr>
    </w:tbl>
    <w:p w:rsidR="002E15E4" w:rsidRPr="00447FE9" w:rsidRDefault="000F27CA" w:rsidP="00CD6FBB">
      <w:pPr>
        <w:pStyle w:val="Heading3"/>
      </w:pPr>
      <w:bookmarkStart w:id="35" w:name="_Toc345348399"/>
      <w:r>
        <w:t>Approach</w:t>
      </w:r>
      <w:bookmarkEnd w:id="35"/>
    </w:p>
    <w:p w:rsidR="002E15E4" w:rsidRDefault="002E15E4" w:rsidP="002E15E4">
      <w:pPr>
        <w:tabs>
          <w:tab w:val="left" w:pos="4245"/>
        </w:tabs>
        <w:rPr>
          <w:rFonts w:cs="Segoe UI"/>
          <w:sz w:val="24"/>
          <w:szCs w:val="24"/>
        </w:rPr>
      </w:pPr>
      <w:r>
        <w:rPr>
          <w:rFonts w:cs="Segoe UI"/>
          <w:sz w:val="24"/>
          <w:szCs w:val="24"/>
        </w:rPr>
        <w:t>The diagram shows a sample approach for architecting a hub that could be used in the healthcare industry.</w:t>
      </w:r>
    </w:p>
    <w:p w:rsidR="002E15E4" w:rsidRPr="00584FC7" w:rsidRDefault="002E15E4" w:rsidP="002E15E4">
      <w:pPr>
        <w:tabs>
          <w:tab w:val="left" w:pos="4245"/>
        </w:tabs>
        <w:ind w:left="-540"/>
        <w:rPr>
          <w:rFonts w:cs="Segoe UI"/>
          <w:sz w:val="24"/>
          <w:szCs w:val="24"/>
        </w:rPr>
      </w:pPr>
      <w:r w:rsidRPr="009C6D2D">
        <w:rPr>
          <w:rFonts w:cs="Segoe UI"/>
          <w:noProof/>
          <w:sz w:val="44"/>
          <w:szCs w:val="44"/>
          <w:lang w:bidi="ar-SA"/>
        </w:rPr>
        <w:lastRenderedPageBreak/>
        <w:drawing>
          <wp:inline distT="0" distB="0" distL="0" distR="0">
            <wp:extent cx="6548804" cy="5079297"/>
            <wp:effectExtent l="1905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48804" cy="5079297"/>
                    </a:xfrm>
                    <a:prstGeom prst="rect">
                      <a:avLst/>
                    </a:prstGeom>
                    <a:noFill/>
                  </pic:spPr>
                </pic:pic>
              </a:graphicData>
            </a:graphic>
          </wp:inline>
        </w:drawing>
      </w:r>
    </w:p>
    <w:p w:rsidR="002E15E4" w:rsidRPr="00584FC7" w:rsidRDefault="002E15E4" w:rsidP="002E15E4">
      <w:pPr>
        <w:pStyle w:val="ListParagraph"/>
        <w:tabs>
          <w:tab w:val="left" w:pos="4245"/>
        </w:tabs>
        <w:rPr>
          <w:rFonts w:cs="Segoe UI"/>
          <w:sz w:val="24"/>
          <w:szCs w:val="24"/>
        </w:rPr>
      </w:pPr>
    </w:p>
    <w:p w:rsidR="002E15E4" w:rsidRPr="00433CA3" w:rsidRDefault="002E15E4" w:rsidP="002E15E4">
      <w:pPr>
        <w:pStyle w:val="NoSpacing"/>
        <w:rPr>
          <w:sz w:val="24"/>
          <w:szCs w:val="24"/>
        </w:rPr>
      </w:pPr>
      <w:r w:rsidRPr="00433CA3">
        <w:rPr>
          <w:sz w:val="24"/>
          <w:szCs w:val="24"/>
        </w:rPr>
        <w:t>The components of a successful approach could be:</w:t>
      </w:r>
    </w:p>
    <w:p w:rsidR="002E15E4" w:rsidRPr="00584FC7" w:rsidRDefault="002E15E4" w:rsidP="00FD7D34">
      <w:pPr>
        <w:pStyle w:val="ListParagraph"/>
        <w:numPr>
          <w:ilvl w:val="0"/>
          <w:numId w:val="10"/>
        </w:numPr>
        <w:tabs>
          <w:tab w:val="left" w:pos="4245"/>
        </w:tabs>
        <w:rPr>
          <w:rFonts w:cs="Segoe UI"/>
          <w:sz w:val="24"/>
          <w:szCs w:val="24"/>
        </w:rPr>
      </w:pPr>
      <w:r>
        <w:rPr>
          <w:rFonts w:cs="Segoe UI"/>
          <w:sz w:val="24"/>
          <w:szCs w:val="24"/>
        </w:rPr>
        <w:t>Define c</w:t>
      </w:r>
      <w:r w:rsidRPr="00584FC7">
        <w:rPr>
          <w:rFonts w:cs="Segoe UI"/>
          <w:sz w:val="24"/>
          <w:szCs w:val="24"/>
        </w:rPr>
        <w:t>riteria for success of pilot</w:t>
      </w:r>
    </w:p>
    <w:p w:rsidR="002E15E4" w:rsidRPr="00584FC7" w:rsidRDefault="002E15E4" w:rsidP="00FD7D34">
      <w:pPr>
        <w:pStyle w:val="ListParagraph"/>
        <w:numPr>
          <w:ilvl w:val="0"/>
          <w:numId w:val="10"/>
        </w:numPr>
        <w:tabs>
          <w:tab w:val="left" w:pos="4245"/>
        </w:tabs>
        <w:rPr>
          <w:rFonts w:cs="Segoe UI"/>
          <w:sz w:val="24"/>
          <w:szCs w:val="24"/>
        </w:rPr>
      </w:pPr>
      <w:r w:rsidRPr="00584FC7">
        <w:rPr>
          <w:rFonts w:cs="Segoe UI"/>
          <w:sz w:val="24"/>
          <w:szCs w:val="24"/>
        </w:rPr>
        <w:t>Define and document key requirements</w:t>
      </w:r>
    </w:p>
    <w:p w:rsidR="002E15E4" w:rsidRPr="00584FC7" w:rsidRDefault="002E15E4" w:rsidP="00FD7D34">
      <w:pPr>
        <w:pStyle w:val="ListParagraph"/>
        <w:numPr>
          <w:ilvl w:val="0"/>
          <w:numId w:val="10"/>
        </w:numPr>
        <w:tabs>
          <w:tab w:val="left" w:pos="4245"/>
        </w:tabs>
        <w:rPr>
          <w:rFonts w:cs="Segoe UI"/>
          <w:sz w:val="24"/>
          <w:szCs w:val="24"/>
        </w:rPr>
      </w:pPr>
      <w:r w:rsidRPr="00584FC7">
        <w:rPr>
          <w:rFonts w:cs="Segoe UI"/>
          <w:sz w:val="24"/>
          <w:szCs w:val="24"/>
        </w:rPr>
        <w:t>Define business case showing tangible and intangible costs and benefits for counterparties</w:t>
      </w:r>
    </w:p>
    <w:p w:rsidR="002E15E4" w:rsidRPr="00584FC7" w:rsidRDefault="002E15E4" w:rsidP="00FD7D34">
      <w:pPr>
        <w:pStyle w:val="ListParagraph"/>
        <w:numPr>
          <w:ilvl w:val="0"/>
          <w:numId w:val="10"/>
        </w:numPr>
        <w:tabs>
          <w:tab w:val="left" w:pos="4245"/>
        </w:tabs>
        <w:rPr>
          <w:rFonts w:cs="Segoe UI"/>
          <w:sz w:val="24"/>
          <w:szCs w:val="24"/>
        </w:rPr>
      </w:pPr>
      <w:r w:rsidRPr="00584FC7">
        <w:rPr>
          <w:rFonts w:cs="Segoe UI"/>
          <w:sz w:val="24"/>
          <w:szCs w:val="24"/>
        </w:rPr>
        <w:t>Define use cases for the pilot encompassing the top potential uses of the network</w:t>
      </w:r>
    </w:p>
    <w:p w:rsidR="002E15E4" w:rsidRPr="005209E3" w:rsidRDefault="002E15E4" w:rsidP="00FD7D34">
      <w:pPr>
        <w:pStyle w:val="ListParagraph"/>
        <w:numPr>
          <w:ilvl w:val="0"/>
          <w:numId w:val="10"/>
        </w:numPr>
        <w:tabs>
          <w:tab w:val="left" w:pos="4245"/>
        </w:tabs>
        <w:rPr>
          <w:rFonts w:cs="Segoe UI"/>
          <w:sz w:val="24"/>
          <w:szCs w:val="24"/>
        </w:rPr>
      </w:pPr>
      <w:r w:rsidRPr="005209E3">
        <w:rPr>
          <w:rFonts w:cs="Segoe UI"/>
          <w:sz w:val="24"/>
          <w:szCs w:val="24"/>
        </w:rPr>
        <w:t>Recruit pilot participant</w:t>
      </w:r>
    </w:p>
    <w:p w:rsidR="002E15E4" w:rsidRPr="00584FC7" w:rsidRDefault="002E15E4" w:rsidP="00FD7D34">
      <w:pPr>
        <w:pStyle w:val="ListParagraph"/>
        <w:numPr>
          <w:ilvl w:val="0"/>
          <w:numId w:val="10"/>
        </w:numPr>
        <w:tabs>
          <w:tab w:val="left" w:pos="4245"/>
        </w:tabs>
        <w:rPr>
          <w:rFonts w:cs="Segoe UI"/>
          <w:sz w:val="24"/>
          <w:szCs w:val="24"/>
        </w:rPr>
      </w:pPr>
      <w:r w:rsidRPr="00584FC7">
        <w:rPr>
          <w:rFonts w:cs="Segoe UI"/>
          <w:sz w:val="24"/>
          <w:szCs w:val="24"/>
        </w:rPr>
        <w:t>Secure resources</w:t>
      </w:r>
    </w:p>
    <w:p w:rsidR="002E15E4" w:rsidRDefault="002E15E4" w:rsidP="00FD7D34">
      <w:pPr>
        <w:pStyle w:val="ListParagraph"/>
        <w:numPr>
          <w:ilvl w:val="1"/>
          <w:numId w:val="9"/>
        </w:numPr>
        <w:tabs>
          <w:tab w:val="left" w:pos="4245"/>
        </w:tabs>
        <w:rPr>
          <w:rFonts w:cs="Segoe UI"/>
          <w:sz w:val="24"/>
          <w:szCs w:val="24"/>
        </w:rPr>
      </w:pPr>
      <w:r w:rsidRPr="00584FC7">
        <w:rPr>
          <w:rFonts w:cs="Segoe UI"/>
          <w:sz w:val="24"/>
          <w:szCs w:val="24"/>
        </w:rPr>
        <w:t>Funding</w:t>
      </w:r>
    </w:p>
    <w:p w:rsidR="002E15E4" w:rsidRPr="00584FC7" w:rsidRDefault="002E15E4" w:rsidP="00FD7D34">
      <w:pPr>
        <w:pStyle w:val="ListParagraph"/>
        <w:numPr>
          <w:ilvl w:val="1"/>
          <w:numId w:val="9"/>
        </w:numPr>
        <w:tabs>
          <w:tab w:val="left" w:pos="4245"/>
        </w:tabs>
        <w:rPr>
          <w:rFonts w:cs="Segoe UI"/>
          <w:sz w:val="24"/>
          <w:szCs w:val="24"/>
        </w:rPr>
      </w:pPr>
      <w:r w:rsidRPr="00584FC7">
        <w:rPr>
          <w:rFonts w:cs="Segoe UI"/>
          <w:sz w:val="24"/>
          <w:szCs w:val="24"/>
        </w:rPr>
        <w:t>Knowledge/Expertise</w:t>
      </w:r>
    </w:p>
    <w:p w:rsidR="002E15E4" w:rsidRPr="00584FC7" w:rsidRDefault="002E15E4" w:rsidP="00FD7D34">
      <w:pPr>
        <w:pStyle w:val="ListParagraph"/>
        <w:numPr>
          <w:ilvl w:val="1"/>
          <w:numId w:val="9"/>
        </w:numPr>
        <w:tabs>
          <w:tab w:val="left" w:pos="4245"/>
        </w:tabs>
        <w:rPr>
          <w:rFonts w:cs="Segoe UI"/>
          <w:sz w:val="24"/>
          <w:szCs w:val="24"/>
        </w:rPr>
      </w:pPr>
      <w:r w:rsidRPr="00584FC7">
        <w:rPr>
          <w:rFonts w:cs="Segoe UI"/>
          <w:sz w:val="24"/>
          <w:szCs w:val="24"/>
        </w:rPr>
        <w:t>Infrastructure</w:t>
      </w:r>
    </w:p>
    <w:p w:rsidR="002E15E4" w:rsidRPr="00584FC7" w:rsidRDefault="002E15E4" w:rsidP="00FD7D34">
      <w:pPr>
        <w:pStyle w:val="ListParagraph"/>
        <w:numPr>
          <w:ilvl w:val="0"/>
          <w:numId w:val="10"/>
        </w:numPr>
        <w:tabs>
          <w:tab w:val="left" w:pos="4245"/>
        </w:tabs>
        <w:rPr>
          <w:rFonts w:cs="Segoe UI"/>
          <w:sz w:val="24"/>
          <w:szCs w:val="24"/>
        </w:rPr>
      </w:pPr>
      <w:r w:rsidRPr="00584FC7">
        <w:rPr>
          <w:rFonts w:cs="Segoe UI"/>
          <w:sz w:val="24"/>
          <w:szCs w:val="24"/>
        </w:rPr>
        <w:t xml:space="preserve">Establish Steering Team </w:t>
      </w:r>
    </w:p>
    <w:p w:rsidR="002E15E4" w:rsidRPr="00584FC7" w:rsidRDefault="002E15E4" w:rsidP="00FD7D34">
      <w:pPr>
        <w:pStyle w:val="ListParagraph"/>
        <w:numPr>
          <w:ilvl w:val="0"/>
          <w:numId w:val="10"/>
        </w:numPr>
        <w:tabs>
          <w:tab w:val="left" w:pos="4245"/>
        </w:tabs>
        <w:rPr>
          <w:rFonts w:cs="Segoe UI"/>
          <w:sz w:val="24"/>
          <w:szCs w:val="24"/>
        </w:rPr>
      </w:pPr>
      <w:r w:rsidRPr="00584FC7">
        <w:rPr>
          <w:rFonts w:cs="Segoe UI"/>
          <w:sz w:val="24"/>
          <w:szCs w:val="24"/>
        </w:rPr>
        <w:t>Determine implementation process</w:t>
      </w:r>
    </w:p>
    <w:p w:rsidR="002E15E4" w:rsidRPr="00584FC7" w:rsidRDefault="002E15E4" w:rsidP="00FD7D34">
      <w:pPr>
        <w:pStyle w:val="ListParagraph"/>
        <w:numPr>
          <w:ilvl w:val="0"/>
          <w:numId w:val="10"/>
        </w:numPr>
        <w:tabs>
          <w:tab w:val="left" w:pos="4245"/>
        </w:tabs>
        <w:rPr>
          <w:rFonts w:cs="Segoe UI"/>
          <w:sz w:val="24"/>
          <w:szCs w:val="24"/>
        </w:rPr>
      </w:pPr>
      <w:r w:rsidRPr="00584FC7">
        <w:rPr>
          <w:rFonts w:cs="Segoe UI"/>
          <w:sz w:val="24"/>
          <w:szCs w:val="24"/>
        </w:rPr>
        <w:t xml:space="preserve">Report pilot findings against alternatives </w:t>
      </w:r>
    </w:p>
    <w:p w:rsidR="002E15E4" w:rsidRDefault="002E15E4" w:rsidP="00FD7D34">
      <w:pPr>
        <w:pStyle w:val="ListParagraph"/>
        <w:numPr>
          <w:ilvl w:val="0"/>
          <w:numId w:val="10"/>
        </w:numPr>
        <w:tabs>
          <w:tab w:val="left" w:pos="4245"/>
        </w:tabs>
        <w:rPr>
          <w:rFonts w:cs="Segoe UI"/>
          <w:sz w:val="24"/>
          <w:szCs w:val="24"/>
        </w:rPr>
      </w:pPr>
      <w:r w:rsidRPr="00584FC7">
        <w:rPr>
          <w:rFonts w:cs="Segoe UI"/>
          <w:sz w:val="24"/>
          <w:szCs w:val="24"/>
        </w:rPr>
        <w:t>Document best practices on production implementations for counterpartie</w:t>
      </w:r>
      <w:r>
        <w:rPr>
          <w:rFonts w:cs="Segoe UI"/>
          <w:sz w:val="24"/>
          <w:szCs w:val="24"/>
        </w:rPr>
        <w:t>s</w:t>
      </w:r>
    </w:p>
    <w:p w:rsidR="002E15E4" w:rsidRPr="005401E2" w:rsidRDefault="000F27CA" w:rsidP="00CD6FBB">
      <w:pPr>
        <w:pStyle w:val="Heading3"/>
      </w:pPr>
      <w:bookmarkStart w:id="36" w:name="_Toc345348400"/>
      <w:r>
        <w:lastRenderedPageBreak/>
        <w:t>Milestones</w:t>
      </w:r>
      <w:bookmarkEnd w:id="36"/>
    </w:p>
    <w:p w:rsidR="002E15E4" w:rsidRPr="00C3153A" w:rsidRDefault="002E15E4" w:rsidP="002E15E4">
      <w:pPr>
        <w:tabs>
          <w:tab w:val="left" w:pos="4245"/>
        </w:tabs>
        <w:rPr>
          <w:rFonts w:cs="Segoe UI"/>
          <w:b/>
          <w:i/>
          <w:sz w:val="24"/>
          <w:szCs w:val="24"/>
        </w:rPr>
      </w:pPr>
      <w:r w:rsidRPr="00C3153A">
        <w:rPr>
          <w:rFonts w:cs="Segoe UI"/>
          <w:b/>
          <w:i/>
          <w:sz w:val="24"/>
          <w:szCs w:val="24"/>
        </w:rPr>
        <w:t>Milestone</w:t>
      </w:r>
      <w:r w:rsidRPr="00C3153A">
        <w:rPr>
          <w:rFonts w:cs="Segoe UI"/>
          <w:b/>
          <w:i/>
          <w:sz w:val="24"/>
          <w:szCs w:val="24"/>
        </w:rPr>
        <w:tab/>
      </w:r>
      <w:r w:rsidRPr="00C3153A">
        <w:rPr>
          <w:rFonts w:cs="Segoe UI"/>
          <w:b/>
          <w:i/>
          <w:sz w:val="24"/>
          <w:szCs w:val="24"/>
        </w:rPr>
        <w:tab/>
      </w:r>
      <w:r w:rsidRPr="00C3153A">
        <w:rPr>
          <w:rFonts w:cs="Segoe UI"/>
          <w:b/>
          <w:i/>
          <w:sz w:val="24"/>
          <w:szCs w:val="24"/>
        </w:rPr>
        <w:tab/>
      </w:r>
      <w:r w:rsidRPr="00C3153A">
        <w:rPr>
          <w:rFonts w:cs="Segoe UI"/>
          <w:b/>
          <w:i/>
          <w:sz w:val="24"/>
          <w:szCs w:val="24"/>
        </w:rPr>
        <w:tab/>
      </w:r>
      <w:r w:rsidRPr="00C3153A">
        <w:rPr>
          <w:rFonts w:cs="Segoe UI"/>
          <w:b/>
          <w:i/>
          <w:sz w:val="24"/>
          <w:szCs w:val="24"/>
        </w:rPr>
        <w:tab/>
        <w:t>Due By</w:t>
      </w:r>
    </w:p>
    <w:tbl>
      <w:tblPr>
        <w:tblStyle w:val="TableGrid"/>
        <w:tblW w:w="0" w:type="auto"/>
        <w:tblLook w:val="04A0" w:firstRow="1" w:lastRow="0" w:firstColumn="1" w:lastColumn="0" w:noHBand="0" w:noVBand="1"/>
      </w:tblPr>
      <w:tblGrid>
        <w:gridCol w:w="5007"/>
        <w:gridCol w:w="4569"/>
      </w:tblGrid>
      <w:tr w:rsidR="002E15E4" w:rsidRPr="00584FC7" w:rsidTr="008836EB">
        <w:tc>
          <w:tcPr>
            <w:tcW w:w="5508" w:type="dxa"/>
          </w:tcPr>
          <w:p w:rsidR="002E15E4" w:rsidRPr="00584FC7" w:rsidRDefault="002E15E4" w:rsidP="00FD7D34">
            <w:pPr>
              <w:pStyle w:val="ListParagraph"/>
              <w:numPr>
                <w:ilvl w:val="0"/>
                <w:numId w:val="11"/>
              </w:numPr>
              <w:tabs>
                <w:tab w:val="left" w:pos="4245"/>
              </w:tabs>
              <w:rPr>
                <w:rFonts w:cs="Segoe UI"/>
                <w:sz w:val="24"/>
                <w:szCs w:val="24"/>
              </w:rPr>
            </w:pPr>
            <w:r w:rsidRPr="00584FC7">
              <w:rPr>
                <w:rFonts w:cs="Segoe UI"/>
                <w:sz w:val="24"/>
                <w:szCs w:val="24"/>
              </w:rPr>
              <w:t>Create/Articulate business case and use cases to</w:t>
            </w:r>
            <w:r w:rsidR="009419B4">
              <w:rPr>
                <w:rFonts w:cs="Segoe UI"/>
                <w:sz w:val="24"/>
                <w:szCs w:val="24"/>
              </w:rPr>
              <w:t xml:space="preserve"> sponsors and participant</w:t>
            </w:r>
            <w:r w:rsidRPr="00584FC7">
              <w:rPr>
                <w:rFonts w:cs="Segoe UI"/>
                <w:sz w:val="24"/>
                <w:szCs w:val="24"/>
              </w:rPr>
              <w:tab/>
            </w:r>
          </w:p>
        </w:tc>
        <w:tc>
          <w:tcPr>
            <w:tcW w:w="5508" w:type="dxa"/>
          </w:tcPr>
          <w:p w:rsidR="002E15E4" w:rsidRPr="00584FC7" w:rsidRDefault="005E2D0F" w:rsidP="008836EB">
            <w:pPr>
              <w:tabs>
                <w:tab w:val="left" w:pos="4245"/>
              </w:tabs>
              <w:spacing w:before="40" w:after="60"/>
              <w:rPr>
                <w:rFonts w:cs="Segoe UI"/>
                <w:sz w:val="24"/>
                <w:szCs w:val="24"/>
              </w:rPr>
            </w:pPr>
            <w:r>
              <w:rPr>
                <w:rFonts w:cs="Segoe UI"/>
                <w:sz w:val="24"/>
                <w:szCs w:val="24"/>
              </w:rPr>
              <w:t>Go-</w:t>
            </w:r>
            <w:r w:rsidR="002E15E4" w:rsidRPr="00584FC7">
              <w:rPr>
                <w:rFonts w:cs="Segoe UI"/>
                <w:sz w:val="24"/>
                <w:szCs w:val="24"/>
              </w:rPr>
              <w:t>ahead decision + 2 weeks</w:t>
            </w:r>
          </w:p>
        </w:tc>
      </w:tr>
      <w:tr w:rsidR="002E15E4" w:rsidRPr="00584FC7" w:rsidTr="008836EB">
        <w:tc>
          <w:tcPr>
            <w:tcW w:w="5508" w:type="dxa"/>
          </w:tcPr>
          <w:p w:rsidR="002E15E4" w:rsidRPr="00584FC7" w:rsidRDefault="002E15E4" w:rsidP="00FD7D34">
            <w:pPr>
              <w:pStyle w:val="ListParagraph"/>
              <w:numPr>
                <w:ilvl w:val="0"/>
                <w:numId w:val="11"/>
              </w:numPr>
              <w:tabs>
                <w:tab w:val="left" w:pos="4245"/>
              </w:tabs>
              <w:spacing w:before="40" w:after="60"/>
              <w:rPr>
                <w:rFonts w:cs="Segoe UI"/>
                <w:sz w:val="24"/>
                <w:szCs w:val="24"/>
              </w:rPr>
            </w:pPr>
            <w:r w:rsidRPr="00584FC7">
              <w:rPr>
                <w:rFonts w:cs="Segoe UI"/>
                <w:sz w:val="24"/>
                <w:szCs w:val="24"/>
              </w:rPr>
              <w:t>Define/Document Functional , Technical and Legal requirements</w:t>
            </w:r>
          </w:p>
        </w:tc>
        <w:tc>
          <w:tcPr>
            <w:tcW w:w="5508" w:type="dxa"/>
          </w:tcPr>
          <w:p w:rsidR="002E15E4" w:rsidRPr="00584FC7" w:rsidRDefault="002E15E4" w:rsidP="008836EB">
            <w:pPr>
              <w:rPr>
                <w:sz w:val="24"/>
                <w:szCs w:val="24"/>
              </w:rPr>
            </w:pPr>
            <w:r w:rsidRPr="00584FC7">
              <w:rPr>
                <w:rFonts w:cs="Segoe UI"/>
                <w:sz w:val="24"/>
                <w:szCs w:val="24"/>
              </w:rPr>
              <w:t>+ 3 weeks</w:t>
            </w:r>
          </w:p>
        </w:tc>
      </w:tr>
      <w:tr w:rsidR="002E15E4" w:rsidRPr="00584FC7" w:rsidTr="008836EB">
        <w:tc>
          <w:tcPr>
            <w:tcW w:w="5508" w:type="dxa"/>
          </w:tcPr>
          <w:p w:rsidR="002E15E4" w:rsidRPr="00584FC7" w:rsidRDefault="002E15E4" w:rsidP="00FD7D34">
            <w:pPr>
              <w:pStyle w:val="ListParagraph"/>
              <w:numPr>
                <w:ilvl w:val="0"/>
                <w:numId w:val="11"/>
              </w:numPr>
              <w:tabs>
                <w:tab w:val="left" w:pos="4245"/>
              </w:tabs>
              <w:spacing w:before="40" w:after="60"/>
              <w:rPr>
                <w:rFonts w:cs="Segoe UI"/>
                <w:sz w:val="24"/>
                <w:szCs w:val="24"/>
              </w:rPr>
            </w:pPr>
            <w:r w:rsidRPr="00584FC7">
              <w:rPr>
                <w:rFonts w:cs="Segoe UI"/>
                <w:sz w:val="24"/>
                <w:szCs w:val="24"/>
              </w:rPr>
              <w:t>Gain participant agreements &amp; resource commitments</w:t>
            </w:r>
          </w:p>
        </w:tc>
        <w:tc>
          <w:tcPr>
            <w:tcW w:w="5508" w:type="dxa"/>
          </w:tcPr>
          <w:p w:rsidR="002E15E4" w:rsidRPr="00584FC7" w:rsidRDefault="002E15E4" w:rsidP="008836EB">
            <w:pPr>
              <w:rPr>
                <w:sz w:val="24"/>
                <w:szCs w:val="24"/>
              </w:rPr>
            </w:pPr>
            <w:r w:rsidRPr="00584FC7">
              <w:rPr>
                <w:rFonts w:cs="Segoe UI"/>
                <w:sz w:val="24"/>
                <w:szCs w:val="24"/>
              </w:rPr>
              <w:t>+ 3 weeks</w:t>
            </w:r>
          </w:p>
        </w:tc>
      </w:tr>
      <w:tr w:rsidR="002E15E4" w:rsidRPr="00584FC7" w:rsidTr="008836EB">
        <w:tc>
          <w:tcPr>
            <w:tcW w:w="5508" w:type="dxa"/>
          </w:tcPr>
          <w:p w:rsidR="002E15E4" w:rsidRPr="00584FC7" w:rsidRDefault="002E15E4" w:rsidP="00FD7D34">
            <w:pPr>
              <w:pStyle w:val="ListParagraph"/>
              <w:numPr>
                <w:ilvl w:val="0"/>
                <w:numId w:val="11"/>
              </w:numPr>
              <w:tabs>
                <w:tab w:val="left" w:pos="4245"/>
              </w:tabs>
              <w:spacing w:before="40" w:after="60"/>
              <w:rPr>
                <w:rFonts w:cs="Segoe UI"/>
                <w:sz w:val="24"/>
                <w:szCs w:val="24"/>
              </w:rPr>
            </w:pPr>
            <w:r w:rsidRPr="00584FC7">
              <w:rPr>
                <w:rFonts w:cs="Segoe UI"/>
                <w:sz w:val="24"/>
                <w:szCs w:val="24"/>
              </w:rPr>
              <w:t>Design/Develop Solution Pilot</w:t>
            </w:r>
          </w:p>
        </w:tc>
        <w:tc>
          <w:tcPr>
            <w:tcW w:w="5508" w:type="dxa"/>
          </w:tcPr>
          <w:p w:rsidR="002E15E4" w:rsidRPr="00584FC7" w:rsidRDefault="002E15E4" w:rsidP="008836EB">
            <w:pPr>
              <w:rPr>
                <w:sz w:val="24"/>
                <w:szCs w:val="24"/>
              </w:rPr>
            </w:pPr>
            <w:r w:rsidRPr="00584FC7">
              <w:rPr>
                <w:rFonts w:cs="Segoe UI"/>
                <w:sz w:val="24"/>
                <w:szCs w:val="24"/>
              </w:rPr>
              <w:t>+ 6</w:t>
            </w:r>
            <w:r w:rsidR="000E50F7">
              <w:rPr>
                <w:rFonts w:cs="Segoe UI"/>
                <w:sz w:val="24"/>
                <w:szCs w:val="24"/>
              </w:rPr>
              <w:t xml:space="preserve"> </w:t>
            </w:r>
            <w:r w:rsidRPr="00584FC7">
              <w:rPr>
                <w:rFonts w:cs="Segoe UI"/>
                <w:sz w:val="24"/>
                <w:szCs w:val="24"/>
              </w:rPr>
              <w:t>weeks</w:t>
            </w:r>
          </w:p>
        </w:tc>
      </w:tr>
      <w:tr w:rsidR="002E15E4" w:rsidRPr="00584FC7" w:rsidTr="008836EB">
        <w:tc>
          <w:tcPr>
            <w:tcW w:w="5508" w:type="dxa"/>
          </w:tcPr>
          <w:p w:rsidR="002E15E4" w:rsidRPr="00584FC7" w:rsidRDefault="002E15E4" w:rsidP="00FD7D34">
            <w:pPr>
              <w:pStyle w:val="ListParagraph"/>
              <w:numPr>
                <w:ilvl w:val="0"/>
                <w:numId w:val="11"/>
              </w:numPr>
              <w:tabs>
                <w:tab w:val="left" w:pos="4245"/>
              </w:tabs>
              <w:spacing w:before="40" w:after="60"/>
              <w:rPr>
                <w:rFonts w:cs="Segoe UI"/>
                <w:sz w:val="24"/>
                <w:szCs w:val="24"/>
              </w:rPr>
            </w:pPr>
            <w:r w:rsidRPr="00584FC7">
              <w:rPr>
                <w:rFonts w:cs="Segoe UI"/>
                <w:sz w:val="24"/>
                <w:szCs w:val="24"/>
              </w:rPr>
              <w:t>Implement &amp; Test</w:t>
            </w:r>
          </w:p>
        </w:tc>
        <w:tc>
          <w:tcPr>
            <w:tcW w:w="5508" w:type="dxa"/>
          </w:tcPr>
          <w:p w:rsidR="002E15E4" w:rsidRPr="00584FC7" w:rsidRDefault="002E15E4" w:rsidP="008836EB">
            <w:pPr>
              <w:rPr>
                <w:sz w:val="24"/>
                <w:szCs w:val="24"/>
              </w:rPr>
            </w:pPr>
            <w:r w:rsidRPr="00584FC7">
              <w:rPr>
                <w:rFonts w:cs="Segoe UI"/>
                <w:sz w:val="24"/>
                <w:szCs w:val="24"/>
              </w:rPr>
              <w:t>+ 6</w:t>
            </w:r>
            <w:r w:rsidR="000E50F7">
              <w:rPr>
                <w:rFonts w:cs="Segoe UI"/>
                <w:sz w:val="24"/>
                <w:szCs w:val="24"/>
              </w:rPr>
              <w:t xml:space="preserve"> </w:t>
            </w:r>
            <w:r w:rsidRPr="00584FC7">
              <w:rPr>
                <w:rFonts w:cs="Segoe UI"/>
                <w:sz w:val="24"/>
                <w:szCs w:val="24"/>
              </w:rPr>
              <w:t>weeks</w:t>
            </w:r>
          </w:p>
        </w:tc>
      </w:tr>
      <w:tr w:rsidR="002E15E4" w:rsidRPr="00584FC7" w:rsidTr="008836EB">
        <w:tc>
          <w:tcPr>
            <w:tcW w:w="5508" w:type="dxa"/>
          </w:tcPr>
          <w:p w:rsidR="002E15E4" w:rsidRPr="00584FC7" w:rsidRDefault="002E15E4" w:rsidP="00FD7D34">
            <w:pPr>
              <w:pStyle w:val="ListParagraph"/>
              <w:numPr>
                <w:ilvl w:val="0"/>
                <w:numId w:val="11"/>
              </w:numPr>
              <w:tabs>
                <w:tab w:val="left" w:pos="4245"/>
              </w:tabs>
              <w:spacing w:before="40" w:after="60"/>
              <w:rPr>
                <w:rFonts w:cs="Segoe UI"/>
                <w:sz w:val="24"/>
                <w:szCs w:val="24"/>
              </w:rPr>
            </w:pPr>
            <w:r w:rsidRPr="00584FC7">
              <w:rPr>
                <w:rFonts w:cs="Segoe UI"/>
                <w:sz w:val="24"/>
                <w:szCs w:val="24"/>
              </w:rPr>
              <w:t>Go Live</w:t>
            </w:r>
          </w:p>
        </w:tc>
        <w:tc>
          <w:tcPr>
            <w:tcW w:w="5508" w:type="dxa"/>
          </w:tcPr>
          <w:p w:rsidR="002E15E4" w:rsidRPr="00584FC7" w:rsidRDefault="002E15E4" w:rsidP="008836EB">
            <w:pPr>
              <w:rPr>
                <w:sz w:val="24"/>
                <w:szCs w:val="24"/>
              </w:rPr>
            </w:pPr>
          </w:p>
        </w:tc>
      </w:tr>
      <w:tr w:rsidR="002E15E4" w:rsidRPr="00584FC7" w:rsidTr="005E2D0F">
        <w:tc>
          <w:tcPr>
            <w:tcW w:w="5508" w:type="dxa"/>
          </w:tcPr>
          <w:p w:rsidR="002E15E4" w:rsidRPr="00584FC7" w:rsidRDefault="002E15E4" w:rsidP="00FD7D34">
            <w:pPr>
              <w:pStyle w:val="ListParagraph"/>
              <w:numPr>
                <w:ilvl w:val="0"/>
                <w:numId w:val="11"/>
              </w:numPr>
              <w:tabs>
                <w:tab w:val="left" w:pos="4245"/>
              </w:tabs>
              <w:spacing w:before="40" w:after="60"/>
              <w:rPr>
                <w:rFonts w:cs="Segoe UI"/>
                <w:sz w:val="24"/>
                <w:szCs w:val="24"/>
              </w:rPr>
            </w:pPr>
            <w:r w:rsidRPr="00584FC7">
              <w:rPr>
                <w:rFonts w:cs="Segoe UI"/>
                <w:sz w:val="24"/>
                <w:szCs w:val="24"/>
              </w:rPr>
              <w:t>Report Output /Findings</w:t>
            </w:r>
          </w:p>
        </w:tc>
        <w:tc>
          <w:tcPr>
            <w:tcW w:w="5508" w:type="dxa"/>
            <w:tcBorders>
              <w:bottom w:val="single" w:sz="4" w:space="0" w:color="auto"/>
            </w:tcBorders>
          </w:tcPr>
          <w:p w:rsidR="002E15E4" w:rsidRPr="00584FC7" w:rsidRDefault="002E15E4" w:rsidP="008836EB">
            <w:pPr>
              <w:rPr>
                <w:sz w:val="24"/>
                <w:szCs w:val="24"/>
              </w:rPr>
            </w:pPr>
            <w:r w:rsidRPr="00584FC7">
              <w:rPr>
                <w:rFonts w:cs="Segoe UI"/>
                <w:sz w:val="24"/>
                <w:szCs w:val="24"/>
              </w:rPr>
              <w:t>+ 2</w:t>
            </w:r>
            <w:r w:rsidR="000E50F7">
              <w:rPr>
                <w:rFonts w:cs="Segoe UI"/>
                <w:sz w:val="24"/>
                <w:szCs w:val="24"/>
              </w:rPr>
              <w:t xml:space="preserve"> </w:t>
            </w:r>
            <w:r w:rsidRPr="00584FC7">
              <w:rPr>
                <w:rFonts w:cs="Segoe UI"/>
                <w:sz w:val="24"/>
                <w:szCs w:val="24"/>
              </w:rPr>
              <w:t>weeks</w:t>
            </w:r>
          </w:p>
        </w:tc>
      </w:tr>
      <w:tr w:rsidR="002E15E4" w:rsidRPr="00584FC7" w:rsidTr="005E2D0F">
        <w:tc>
          <w:tcPr>
            <w:tcW w:w="5508" w:type="dxa"/>
          </w:tcPr>
          <w:p w:rsidR="002E15E4" w:rsidRPr="00584FC7" w:rsidRDefault="002E15E4" w:rsidP="00FD7D34">
            <w:pPr>
              <w:pStyle w:val="ListParagraph"/>
              <w:numPr>
                <w:ilvl w:val="0"/>
                <w:numId w:val="11"/>
              </w:numPr>
              <w:tabs>
                <w:tab w:val="left" w:pos="4245"/>
              </w:tabs>
              <w:spacing w:before="40" w:after="60"/>
              <w:rPr>
                <w:rFonts w:cs="Segoe UI"/>
                <w:sz w:val="24"/>
                <w:szCs w:val="24"/>
              </w:rPr>
            </w:pPr>
            <w:r w:rsidRPr="00584FC7">
              <w:rPr>
                <w:rFonts w:cs="Segoe UI"/>
                <w:sz w:val="24"/>
                <w:szCs w:val="24"/>
              </w:rPr>
              <w:t>Publicize as HIMSS adopted standard with “rule-book”</w:t>
            </w:r>
          </w:p>
        </w:tc>
        <w:tc>
          <w:tcPr>
            <w:tcW w:w="5508" w:type="dxa"/>
            <w:tcBorders>
              <w:bottom w:val="double" w:sz="4" w:space="0" w:color="auto"/>
            </w:tcBorders>
          </w:tcPr>
          <w:p w:rsidR="002E15E4" w:rsidRPr="00584FC7" w:rsidRDefault="002E15E4" w:rsidP="008836EB">
            <w:pPr>
              <w:spacing w:before="40" w:after="60"/>
              <w:rPr>
                <w:rFonts w:cs="Segoe UI"/>
                <w:sz w:val="24"/>
                <w:szCs w:val="24"/>
              </w:rPr>
            </w:pPr>
            <w:r w:rsidRPr="00584FC7">
              <w:rPr>
                <w:rFonts w:cs="Segoe UI"/>
                <w:sz w:val="24"/>
                <w:szCs w:val="24"/>
              </w:rPr>
              <w:t>+ 3</w:t>
            </w:r>
            <w:r w:rsidR="000E50F7">
              <w:rPr>
                <w:rFonts w:cs="Segoe UI"/>
                <w:sz w:val="24"/>
                <w:szCs w:val="24"/>
              </w:rPr>
              <w:t xml:space="preserve"> </w:t>
            </w:r>
            <w:r w:rsidRPr="00584FC7">
              <w:rPr>
                <w:rFonts w:cs="Segoe UI"/>
                <w:sz w:val="24"/>
                <w:szCs w:val="24"/>
              </w:rPr>
              <w:t>weeks</w:t>
            </w:r>
          </w:p>
          <w:p w:rsidR="002E15E4" w:rsidRPr="00584FC7" w:rsidRDefault="002E15E4" w:rsidP="008836EB">
            <w:pPr>
              <w:rPr>
                <w:sz w:val="24"/>
                <w:szCs w:val="24"/>
              </w:rPr>
            </w:pPr>
          </w:p>
        </w:tc>
      </w:tr>
      <w:tr w:rsidR="002E15E4" w:rsidRPr="00584FC7" w:rsidTr="005E2D0F">
        <w:tc>
          <w:tcPr>
            <w:tcW w:w="5508" w:type="dxa"/>
          </w:tcPr>
          <w:p w:rsidR="002E15E4" w:rsidRPr="00584FC7" w:rsidRDefault="009419B4" w:rsidP="008836EB">
            <w:pPr>
              <w:pStyle w:val="ListParagraph"/>
              <w:tabs>
                <w:tab w:val="left" w:pos="4245"/>
              </w:tabs>
              <w:rPr>
                <w:rFonts w:cs="Segoe UI"/>
                <w:sz w:val="24"/>
                <w:szCs w:val="24"/>
              </w:rPr>
            </w:pPr>
            <w:r>
              <w:rPr>
                <w:rFonts w:cs="Segoe UI"/>
                <w:sz w:val="24"/>
                <w:szCs w:val="24"/>
              </w:rPr>
              <w:t>Time to complete:</w:t>
            </w:r>
          </w:p>
        </w:tc>
        <w:tc>
          <w:tcPr>
            <w:tcW w:w="5508" w:type="dxa"/>
            <w:tcBorders>
              <w:top w:val="double" w:sz="4" w:space="0" w:color="auto"/>
            </w:tcBorders>
          </w:tcPr>
          <w:p w:rsidR="002E15E4" w:rsidRPr="00584FC7" w:rsidRDefault="002E15E4" w:rsidP="008836EB">
            <w:pPr>
              <w:rPr>
                <w:rFonts w:cs="Segoe UI"/>
                <w:sz w:val="24"/>
                <w:szCs w:val="24"/>
              </w:rPr>
            </w:pPr>
            <w:r w:rsidRPr="00584FC7">
              <w:rPr>
                <w:rFonts w:cs="Segoe UI"/>
                <w:sz w:val="24"/>
                <w:szCs w:val="24"/>
              </w:rPr>
              <w:t>~ 25 weeks</w:t>
            </w:r>
          </w:p>
        </w:tc>
      </w:tr>
    </w:tbl>
    <w:p w:rsidR="00E6279B" w:rsidRDefault="00E6279B" w:rsidP="004502CB">
      <w:bookmarkStart w:id="37" w:name="_6.0__"/>
      <w:bookmarkEnd w:id="37"/>
    </w:p>
    <w:p w:rsidR="00F1105A" w:rsidRDefault="00F1105A" w:rsidP="00F1105A">
      <w:pPr>
        <w:pStyle w:val="Heading1"/>
      </w:pPr>
      <w:bookmarkStart w:id="38" w:name="_Toc345348401"/>
      <w:r>
        <w:t>Conclusion</w:t>
      </w:r>
      <w:bookmarkEnd w:id="38"/>
    </w:p>
    <w:p w:rsidR="002E15E4" w:rsidRPr="00CB37C7" w:rsidRDefault="002E15E4" w:rsidP="002E15E4">
      <w:pPr>
        <w:pStyle w:val="NoSpacing"/>
        <w:rPr>
          <w:sz w:val="24"/>
          <w:szCs w:val="24"/>
        </w:rPr>
      </w:pPr>
      <w:r w:rsidRPr="007817BA">
        <w:rPr>
          <w:sz w:val="24"/>
          <w:szCs w:val="24"/>
        </w:rPr>
        <w:t>This paper has covered a number of issues related to healthcare payment and remittance</w:t>
      </w:r>
      <w:r w:rsidRPr="00CB37C7">
        <w:rPr>
          <w:sz w:val="24"/>
          <w:szCs w:val="24"/>
        </w:rPr>
        <w:t xml:space="preserve"> processing, outlining key benefits of “straight-through processing” for the stakeholders</w:t>
      </w:r>
      <w:r w:rsidR="00C1673C">
        <w:rPr>
          <w:sz w:val="24"/>
          <w:szCs w:val="24"/>
        </w:rPr>
        <w:t xml:space="preserve"> -- </w:t>
      </w:r>
      <w:r>
        <w:rPr>
          <w:sz w:val="24"/>
          <w:szCs w:val="24"/>
        </w:rPr>
        <w:t>in particular</w:t>
      </w:r>
      <w:r w:rsidR="00C1673C">
        <w:rPr>
          <w:sz w:val="24"/>
          <w:szCs w:val="24"/>
        </w:rPr>
        <w:t>, the</w:t>
      </w:r>
      <w:r>
        <w:rPr>
          <w:sz w:val="24"/>
          <w:szCs w:val="24"/>
        </w:rPr>
        <w:t xml:space="preserve"> health plans, providers and consumers;</w:t>
      </w:r>
      <w:r w:rsidRPr="00CB37C7">
        <w:rPr>
          <w:sz w:val="24"/>
          <w:szCs w:val="24"/>
        </w:rPr>
        <w:t xml:space="preserve"> and providing key factors in the development of a pilot program that could be used to demonstrate return on investment. </w:t>
      </w:r>
    </w:p>
    <w:p w:rsidR="002E15E4" w:rsidRPr="00CB37C7" w:rsidRDefault="002E15E4" w:rsidP="002E15E4">
      <w:pPr>
        <w:pStyle w:val="NoSpacing"/>
        <w:rPr>
          <w:sz w:val="24"/>
          <w:szCs w:val="24"/>
        </w:rPr>
      </w:pPr>
    </w:p>
    <w:p w:rsidR="002E15E4" w:rsidRDefault="002E15E4" w:rsidP="002E15E4">
      <w:pPr>
        <w:pStyle w:val="NoSpacing"/>
        <w:rPr>
          <w:sz w:val="24"/>
          <w:szCs w:val="24"/>
        </w:rPr>
      </w:pPr>
      <w:r w:rsidRPr="007817BA">
        <w:rPr>
          <w:sz w:val="24"/>
          <w:szCs w:val="24"/>
        </w:rPr>
        <w:t xml:space="preserve">HIMSS believes that the </w:t>
      </w:r>
      <w:r w:rsidR="00C1673C">
        <w:rPr>
          <w:sz w:val="24"/>
          <w:szCs w:val="24"/>
        </w:rPr>
        <w:t xml:space="preserve">healthcare </w:t>
      </w:r>
      <w:r w:rsidRPr="007817BA">
        <w:rPr>
          <w:sz w:val="24"/>
          <w:szCs w:val="24"/>
        </w:rPr>
        <w:t xml:space="preserve">payments </w:t>
      </w:r>
      <w:r w:rsidR="0029408B" w:rsidRPr="007817BA">
        <w:rPr>
          <w:sz w:val="24"/>
          <w:szCs w:val="24"/>
        </w:rPr>
        <w:t>hub can</w:t>
      </w:r>
      <w:r w:rsidRPr="007817BA">
        <w:rPr>
          <w:sz w:val="24"/>
          <w:szCs w:val="24"/>
        </w:rPr>
        <w:t xml:space="preserve"> be demonstrated in a limited fashion at the </w:t>
      </w:r>
      <w:hyperlink w:anchor="HIMSSInteroperabilityShowcase" w:history="1">
        <w:r w:rsidRPr="005016DA">
          <w:rPr>
            <w:rStyle w:val="Hyperlink"/>
            <w:sz w:val="24"/>
            <w:szCs w:val="24"/>
          </w:rPr>
          <w:t>HIMSS Interoperability Showcase</w:t>
        </w:r>
      </w:hyperlink>
      <w:r w:rsidRPr="007817BA">
        <w:rPr>
          <w:sz w:val="24"/>
          <w:szCs w:val="24"/>
        </w:rPr>
        <w:t xml:space="preserve"> and that this demonstration could spawn an impressive array of innovations that evolve from optimum use of data that is flowing through payment</w:t>
      </w:r>
      <w:r w:rsidRPr="00CB37C7">
        <w:rPr>
          <w:sz w:val="24"/>
          <w:szCs w:val="24"/>
        </w:rPr>
        <w:t xml:space="preserve"> channels.</w:t>
      </w:r>
      <w:r w:rsidR="000E50F7">
        <w:rPr>
          <w:sz w:val="24"/>
          <w:szCs w:val="24"/>
        </w:rPr>
        <w:t xml:space="preserve"> </w:t>
      </w:r>
      <w:r>
        <w:rPr>
          <w:sz w:val="24"/>
          <w:szCs w:val="24"/>
        </w:rPr>
        <w:t>HIMSS encourages the healthcare community to</w:t>
      </w:r>
      <w:r w:rsidRPr="00CB37C7">
        <w:rPr>
          <w:sz w:val="24"/>
          <w:szCs w:val="24"/>
        </w:rPr>
        <w:t xml:space="preserve"> embark upon this path</w:t>
      </w:r>
      <w:r>
        <w:rPr>
          <w:sz w:val="24"/>
          <w:szCs w:val="24"/>
        </w:rPr>
        <w:t xml:space="preserve"> in order to provide s</w:t>
      </w:r>
      <w:r w:rsidRPr="00CB37C7">
        <w:rPr>
          <w:sz w:val="24"/>
          <w:szCs w:val="24"/>
        </w:rPr>
        <w:t>trong value</w:t>
      </w:r>
      <w:r>
        <w:rPr>
          <w:sz w:val="24"/>
          <w:szCs w:val="24"/>
        </w:rPr>
        <w:t xml:space="preserve"> and remarkable process efficiency</w:t>
      </w:r>
      <w:r w:rsidRPr="00CB37C7">
        <w:rPr>
          <w:sz w:val="24"/>
          <w:szCs w:val="24"/>
        </w:rPr>
        <w:t xml:space="preserve"> fo</w:t>
      </w:r>
      <w:r>
        <w:rPr>
          <w:sz w:val="24"/>
          <w:szCs w:val="24"/>
        </w:rPr>
        <w:t xml:space="preserve">r the </w:t>
      </w:r>
      <w:r w:rsidRPr="00CB37C7">
        <w:rPr>
          <w:sz w:val="24"/>
          <w:szCs w:val="24"/>
        </w:rPr>
        <w:t xml:space="preserve">stakeholders </w:t>
      </w:r>
      <w:r>
        <w:rPr>
          <w:sz w:val="24"/>
          <w:szCs w:val="24"/>
        </w:rPr>
        <w:t xml:space="preserve">engaged in the healthcare business process. </w:t>
      </w:r>
    </w:p>
    <w:p w:rsidR="002E15E4" w:rsidRDefault="002E15E4" w:rsidP="002E15E4">
      <w:pPr>
        <w:pStyle w:val="NoSpacing"/>
        <w:rPr>
          <w:sz w:val="24"/>
          <w:szCs w:val="24"/>
        </w:rPr>
      </w:pPr>
    </w:p>
    <w:p w:rsidR="002E15E4" w:rsidRPr="009A7E4D" w:rsidRDefault="002E15E4" w:rsidP="002E15E4">
      <w:pPr>
        <w:pStyle w:val="NoSpacing"/>
        <w:rPr>
          <w:sz w:val="24"/>
          <w:szCs w:val="24"/>
        </w:rPr>
      </w:pPr>
      <w:r w:rsidRPr="009A7E4D">
        <w:rPr>
          <w:sz w:val="24"/>
          <w:szCs w:val="24"/>
        </w:rPr>
        <w:t xml:space="preserve">The </w:t>
      </w:r>
      <w:r>
        <w:rPr>
          <w:sz w:val="24"/>
          <w:szCs w:val="24"/>
        </w:rPr>
        <w:t xml:space="preserve">healthcare </w:t>
      </w:r>
      <w:r w:rsidRPr="009A7E4D">
        <w:rPr>
          <w:sz w:val="24"/>
          <w:szCs w:val="24"/>
        </w:rPr>
        <w:t xml:space="preserve">payments hub design </w:t>
      </w:r>
      <w:r>
        <w:rPr>
          <w:sz w:val="24"/>
          <w:szCs w:val="24"/>
        </w:rPr>
        <w:t xml:space="preserve">is </w:t>
      </w:r>
      <w:r w:rsidRPr="009A7E4D">
        <w:rPr>
          <w:sz w:val="24"/>
          <w:szCs w:val="24"/>
        </w:rPr>
        <w:t xml:space="preserve">intended to demonstrate bottom line financial advantage to each of the </w:t>
      </w:r>
      <w:r w:rsidR="009451BB">
        <w:rPr>
          <w:sz w:val="24"/>
          <w:szCs w:val="24"/>
        </w:rPr>
        <w:t xml:space="preserve">involved parties by creating </w:t>
      </w:r>
      <w:r w:rsidRPr="009A7E4D">
        <w:rPr>
          <w:sz w:val="24"/>
          <w:szCs w:val="24"/>
        </w:rPr>
        <w:t xml:space="preserve">counterparties involved by creating a functional prototype for </w:t>
      </w:r>
      <w:hyperlink w:anchor="EFT" w:history="1">
        <w:r w:rsidRPr="006B6165">
          <w:rPr>
            <w:rStyle w:val="Hyperlink"/>
            <w:sz w:val="24"/>
            <w:szCs w:val="24"/>
          </w:rPr>
          <w:t>EFT</w:t>
        </w:r>
      </w:hyperlink>
      <w:r w:rsidRPr="009A7E4D">
        <w:rPr>
          <w:sz w:val="24"/>
          <w:szCs w:val="24"/>
        </w:rPr>
        <w:t>/</w:t>
      </w:r>
      <w:hyperlink w:anchor="ERA" w:history="1">
        <w:r w:rsidRPr="00F37718">
          <w:rPr>
            <w:rStyle w:val="Hyperlink"/>
            <w:sz w:val="24"/>
            <w:szCs w:val="24"/>
          </w:rPr>
          <w:t>ERA</w:t>
        </w:r>
      </w:hyperlink>
      <w:r w:rsidRPr="009A7E4D">
        <w:rPr>
          <w:sz w:val="24"/>
          <w:szCs w:val="24"/>
        </w:rPr>
        <w:t xml:space="preserve"> management using the </w:t>
      </w:r>
      <w:hyperlink w:anchor="STP" w:history="1">
        <w:r w:rsidRPr="00425E01">
          <w:rPr>
            <w:rStyle w:val="Hyperlink"/>
            <w:sz w:val="24"/>
            <w:szCs w:val="24"/>
          </w:rPr>
          <w:t>STP</w:t>
        </w:r>
      </w:hyperlink>
      <w:r w:rsidRPr="009A7E4D">
        <w:rPr>
          <w:sz w:val="24"/>
          <w:szCs w:val="24"/>
        </w:rPr>
        <w:t xml:space="preserve"> model. Importantly, comments in the Final Rule for Electronic Funds Transfer, recently passed by the Department of Health and Human Services (</w:t>
      </w:r>
      <w:hyperlink w:anchor="HHS" w:history="1">
        <w:r w:rsidRPr="00225529">
          <w:rPr>
            <w:rStyle w:val="Hyperlink"/>
            <w:sz w:val="24"/>
            <w:szCs w:val="24"/>
          </w:rPr>
          <w:t>HHS</w:t>
        </w:r>
      </w:hyperlink>
      <w:r w:rsidRPr="009A7E4D">
        <w:rPr>
          <w:sz w:val="24"/>
          <w:szCs w:val="24"/>
        </w:rPr>
        <w:t xml:space="preserve">), exhort the industry to continue to innovate and explore potentially new solutions that create greater efficiency in payments and remittance management. Should </w:t>
      </w:r>
      <w:r w:rsidRPr="007817BA">
        <w:rPr>
          <w:sz w:val="24"/>
          <w:szCs w:val="24"/>
        </w:rPr>
        <w:t xml:space="preserve">the stakeholders seek to implement the program, </w:t>
      </w:r>
      <w:r w:rsidRPr="007817BA">
        <w:rPr>
          <w:sz w:val="24"/>
          <w:szCs w:val="24"/>
        </w:rPr>
        <w:lastRenderedPageBreak/>
        <w:t>HIMSS World Bank Task Force will seek</w:t>
      </w:r>
      <w:r w:rsidRPr="009A7E4D">
        <w:rPr>
          <w:sz w:val="24"/>
          <w:szCs w:val="24"/>
        </w:rPr>
        <w:t xml:space="preserve"> to publish and highlight the benefits in cost, quality</w:t>
      </w:r>
      <w:r w:rsidR="00A73CE5">
        <w:rPr>
          <w:sz w:val="24"/>
          <w:szCs w:val="24"/>
        </w:rPr>
        <w:t>,</w:t>
      </w:r>
      <w:r w:rsidRPr="009A7E4D">
        <w:rPr>
          <w:sz w:val="24"/>
          <w:szCs w:val="24"/>
        </w:rPr>
        <w:t xml:space="preserve"> or customer service across the counterparties via HIMSS communications venues. </w:t>
      </w:r>
    </w:p>
    <w:p w:rsidR="002E15E4" w:rsidRPr="009A7E4D" w:rsidRDefault="002E15E4" w:rsidP="002E15E4">
      <w:pPr>
        <w:pStyle w:val="NoSpacing"/>
        <w:rPr>
          <w:sz w:val="24"/>
          <w:szCs w:val="24"/>
        </w:rPr>
      </w:pPr>
    </w:p>
    <w:p w:rsidR="002E15E4" w:rsidRPr="009A7E4D" w:rsidRDefault="002E15E4" w:rsidP="002E15E4">
      <w:pPr>
        <w:pStyle w:val="NoSpacing"/>
        <w:rPr>
          <w:sz w:val="24"/>
          <w:szCs w:val="24"/>
        </w:rPr>
      </w:pPr>
      <w:r w:rsidRPr="009A7E4D">
        <w:rPr>
          <w:sz w:val="24"/>
          <w:szCs w:val="24"/>
        </w:rPr>
        <w:t xml:space="preserve">It is likely that the issue of </w:t>
      </w:r>
      <w:hyperlink w:anchor="STP" w:history="1">
        <w:r w:rsidRPr="00425E01">
          <w:rPr>
            <w:rStyle w:val="Hyperlink"/>
            <w:sz w:val="24"/>
            <w:szCs w:val="24"/>
          </w:rPr>
          <w:t>STP</w:t>
        </w:r>
      </w:hyperlink>
      <w:r w:rsidRPr="009A7E4D">
        <w:rPr>
          <w:sz w:val="24"/>
          <w:szCs w:val="24"/>
        </w:rPr>
        <w:t xml:space="preserve"> will continue to surface until a viable solution is developed. The benefits of </w:t>
      </w:r>
      <w:hyperlink w:anchor="STP" w:history="1">
        <w:r w:rsidRPr="00425E01">
          <w:rPr>
            <w:rStyle w:val="Hyperlink"/>
            <w:sz w:val="24"/>
            <w:szCs w:val="24"/>
          </w:rPr>
          <w:t>STP</w:t>
        </w:r>
      </w:hyperlink>
      <w:r w:rsidRPr="009A7E4D">
        <w:rPr>
          <w:sz w:val="24"/>
          <w:szCs w:val="24"/>
        </w:rPr>
        <w:t xml:space="preserve"> in healthcare are substantial and have been well documented. This cost efficiency will drive the marketplace in search of a solution. Notably, while larger healthcare providers and health plans have developed work around solutions with their clearinghouses and other vendors, the vast majority of providers have yet to take advantage of these solutions. Implementing a healthcare payments hub could facilitate stronger use of clearinghouses that provide the critical end point value that can drive far greater efficiency in our healthcare complex. </w:t>
      </w:r>
    </w:p>
    <w:p w:rsidR="002E15E4" w:rsidRPr="009A7E4D" w:rsidRDefault="002E15E4" w:rsidP="002E15E4">
      <w:pPr>
        <w:pStyle w:val="NoSpacing"/>
        <w:rPr>
          <w:sz w:val="24"/>
          <w:szCs w:val="24"/>
        </w:rPr>
      </w:pPr>
    </w:p>
    <w:p w:rsidR="002E15E4" w:rsidRDefault="002E15E4" w:rsidP="002E15E4">
      <w:pPr>
        <w:pStyle w:val="NoSpacing"/>
        <w:rPr>
          <w:sz w:val="24"/>
          <w:szCs w:val="24"/>
        </w:rPr>
      </w:pPr>
      <w:r w:rsidRPr="009A7E4D">
        <w:rPr>
          <w:sz w:val="24"/>
          <w:szCs w:val="24"/>
        </w:rPr>
        <w:t xml:space="preserve">In order to make this happen, however, the banking community must step up to the challenge and create credible solutions where ROI can be demonstrated and case studies can be socialized throughout the healthcare stakeholders. </w:t>
      </w:r>
      <w:r>
        <w:rPr>
          <w:sz w:val="24"/>
          <w:szCs w:val="24"/>
        </w:rPr>
        <w:t>T</w:t>
      </w:r>
      <w:r w:rsidRPr="009A7E4D">
        <w:rPr>
          <w:sz w:val="24"/>
          <w:szCs w:val="24"/>
        </w:rPr>
        <w:t xml:space="preserve">here is a growing acknowledgement that convergence of banking and financial technologies via point of service processing, implementation of </w:t>
      </w:r>
      <w:hyperlink w:anchor="PHR" w:history="1">
        <w:r w:rsidRPr="007021E4">
          <w:rPr>
            <w:rStyle w:val="Hyperlink"/>
            <w:sz w:val="24"/>
            <w:szCs w:val="24"/>
          </w:rPr>
          <w:t>PHR</w:t>
        </w:r>
      </w:hyperlink>
      <w:r w:rsidRPr="009A7E4D">
        <w:rPr>
          <w:sz w:val="24"/>
          <w:szCs w:val="24"/>
        </w:rPr>
        <w:t xml:space="preserve">s that are interoperable with electronic health records, </w:t>
      </w:r>
      <w:hyperlink w:anchor="HSA" w:history="1">
        <w:r w:rsidRPr="005016DA">
          <w:rPr>
            <w:rStyle w:val="Hyperlink"/>
            <w:sz w:val="24"/>
            <w:szCs w:val="24"/>
          </w:rPr>
          <w:t>HSA</w:t>
        </w:r>
      </w:hyperlink>
      <w:r w:rsidRPr="009A7E4D">
        <w:rPr>
          <w:sz w:val="24"/>
          <w:szCs w:val="24"/>
        </w:rPr>
        <w:t xml:space="preserve"> management, claim liquidity mechanisms (A/R financing) and other areas are placing more protected health information into banking systems and thus placing increased pressure on core banking and healthcare service organizations to work together in more synergistic ways. </w:t>
      </w:r>
    </w:p>
    <w:p w:rsidR="002E15E4" w:rsidRDefault="002E15E4" w:rsidP="002E15E4"/>
    <w:p w:rsidR="00D50825" w:rsidRDefault="00D50825">
      <w:r>
        <w:br w:type="page"/>
      </w:r>
    </w:p>
    <w:p w:rsidR="002E15E4" w:rsidRPr="00E336B7" w:rsidRDefault="00306F7E" w:rsidP="00E336B7">
      <w:pPr>
        <w:pStyle w:val="Heading1"/>
      </w:pPr>
      <w:bookmarkStart w:id="39" w:name="_Toc345348402"/>
      <w:r w:rsidRPr="00E336B7">
        <w:lastRenderedPageBreak/>
        <w:t>Appendix</w:t>
      </w:r>
      <w:bookmarkEnd w:id="39"/>
    </w:p>
    <w:p w:rsidR="00306F7E" w:rsidRPr="00306F7E" w:rsidRDefault="00306F7E" w:rsidP="00306F7E">
      <w:pPr>
        <w:pStyle w:val="Heading2"/>
      </w:pPr>
      <w:bookmarkStart w:id="40" w:name="_Toc345348403"/>
      <w:r>
        <w:t>Glossary</w:t>
      </w:r>
      <w:bookmarkEnd w:id="40"/>
    </w:p>
    <w:tbl>
      <w:tblPr>
        <w:tblStyle w:val="LightList1"/>
        <w:tblW w:w="9450" w:type="dxa"/>
        <w:tblLayout w:type="fixed"/>
        <w:tblLook w:val="04A0" w:firstRow="1" w:lastRow="0" w:firstColumn="1" w:lastColumn="0" w:noHBand="0" w:noVBand="1"/>
      </w:tblPr>
      <w:tblGrid>
        <w:gridCol w:w="1368"/>
        <w:gridCol w:w="8082"/>
      </w:tblGrid>
      <w:tr w:rsidR="00306F7E" w:rsidRPr="002857EB" w:rsidTr="002857E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68" w:type="dxa"/>
          </w:tcPr>
          <w:p w:rsidR="00306F7E" w:rsidRPr="002857EB" w:rsidRDefault="00306F7E" w:rsidP="008836EB">
            <w:pPr>
              <w:pStyle w:val="NoSpacing"/>
              <w:rPr>
                <w:sz w:val="18"/>
                <w:szCs w:val="18"/>
              </w:rPr>
            </w:pPr>
            <w:r w:rsidRPr="002857EB">
              <w:rPr>
                <w:sz w:val="18"/>
                <w:szCs w:val="18"/>
              </w:rPr>
              <w:t>Term</w:t>
            </w:r>
          </w:p>
        </w:tc>
        <w:tc>
          <w:tcPr>
            <w:tcW w:w="8082" w:type="dxa"/>
          </w:tcPr>
          <w:p w:rsidR="00306F7E" w:rsidRPr="002857EB" w:rsidRDefault="00306F7E" w:rsidP="008836E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857EB">
              <w:rPr>
                <w:sz w:val="18"/>
                <w:szCs w:val="18"/>
              </w:rPr>
              <w:t>Definition</w:t>
            </w:r>
          </w:p>
        </w:tc>
      </w:tr>
      <w:tr w:rsidR="00F651B6"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F651B6" w:rsidRPr="002857EB" w:rsidRDefault="00F651B6" w:rsidP="008836EB">
            <w:pPr>
              <w:pStyle w:val="NoSpacing"/>
              <w:rPr>
                <w:sz w:val="18"/>
                <w:szCs w:val="18"/>
              </w:rPr>
            </w:pPr>
            <w:bookmarkStart w:id="41" w:name="ACH"/>
            <w:r w:rsidRPr="002857EB">
              <w:rPr>
                <w:sz w:val="18"/>
                <w:szCs w:val="18"/>
              </w:rPr>
              <w:t>ACH</w:t>
            </w:r>
            <w:bookmarkEnd w:id="41"/>
          </w:p>
        </w:tc>
        <w:tc>
          <w:tcPr>
            <w:tcW w:w="8082" w:type="dxa"/>
          </w:tcPr>
          <w:p w:rsidR="00F651B6" w:rsidRPr="002857EB" w:rsidRDefault="00F651B6" w:rsidP="008836EB">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Automated Clearing House</w:t>
            </w:r>
          </w:p>
        </w:tc>
      </w:tr>
      <w:tr w:rsidR="00B0496D"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B0496D" w:rsidRPr="002857EB" w:rsidRDefault="00B0496D" w:rsidP="008836EB">
            <w:pPr>
              <w:pStyle w:val="NoSpacing"/>
              <w:rPr>
                <w:sz w:val="18"/>
                <w:szCs w:val="18"/>
              </w:rPr>
            </w:pPr>
            <w:bookmarkStart w:id="42" w:name="ARRA"/>
            <w:r w:rsidRPr="002857EB">
              <w:rPr>
                <w:sz w:val="18"/>
                <w:szCs w:val="18"/>
              </w:rPr>
              <w:t>ARRA</w:t>
            </w:r>
            <w:bookmarkEnd w:id="42"/>
          </w:p>
        </w:tc>
        <w:tc>
          <w:tcPr>
            <w:tcW w:w="8082" w:type="dxa"/>
          </w:tcPr>
          <w:p w:rsidR="00B0496D" w:rsidRPr="002857EB" w:rsidRDefault="004F41C0" w:rsidP="004F41C0">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The American Recovery and Reinvestment Act of 2009. Abbreviated ARRA and commonly referred to as the Stimulus or The Recovery Act, this is an economic stimulus package enacted by the 111th United States Congress in February 2009 and signed into law on February 17, 2009 by President Barack Obama. This act made supplemental appropriations for job preservation and creation, infrastructure investment, energy efficiency and science, assistance to the unemployed, and State and local fiscal stabilization. As part of ARRA, Subtitle D of the Health Information Technology for Economic and Clinical Health Act (</w:t>
            </w:r>
            <w:hyperlink w:anchor="HITECH" w:history="1">
              <w:r w:rsidRPr="005016DA">
                <w:rPr>
                  <w:rStyle w:val="Hyperlink"/>
                  <w:sz w:val="18"/>
                  <w:szCs w:val="18"/>
                </w:rPr>
                <w:t>HITECH</w:t>
              </w:r>
            </w:hyperlink>
            <w:r w:rsidRPr="002857EB">
              <w:rPr>
                <w:sz w:val="18"/>
                <w:szCs w:val="18"/>
              </w:rPr>
              <w:t xml:space="preserve">) addresses the privacy and security concerns associated with the electronic transmission of health </w:t>
            </w:r>
            <w:r w:rsidR="0029408B" w:rsidRPr="002857EB">
              <w:rPr>
                <w:sz w:val="18"/>
                <w:szCs w:val="18"/>
              </w:rPr>
              <w:t>information.</w:t>
            </w:r>
            <w:r w:rsidR="0029408B" w:rsidRPr="002857EB">
              <w:rPr>
                <w:b/>
                <w:sz w:val="18"/>
                <w:szCs w:val="18"/>
              </w:rPr>
              <w:t xml:space="preserve"> Source</w:t>
            </w:r>
            <w:r w:rsidRPr="002857EB">
              <w:rPr>
                <w:b/>
                <w:sz w:val="18"/>
                <w:szCs w:val="18"/>
              </w:rPr>
              <w:t xml:space="preserve">: </w:t>
            </w:r>
            <w:hyperlink r:id="rId14" w:history="1">
              <w:r w:rsidR="00CE48B0" w:rsidRPr="00906922">
                <w:rPr>
                  <w:rStyle w:val="Hyperlink"/>
                  <w:b/>
                  <w:sz w:val="18"/>
                  <w:szCs w:val="18"/>
                </w:rPr>
                <w:t>http://www.gpo.gov/fdsys/pkg/PLAW-111publ5/content-detail.html</w:t>
              </w:r>
            </w:hyperlink>
            <w:r w:rsidR="00CE48B0">
              <w:rPr>
                <w:b/>
                <w:sz w:val="18"/>
                <w:szCs w:val="18"/>
              </w:rPr>
              <w:t xml:space="preserve"> </w:t>
            </w:r>
          </w:p>
        </w:tc>
      </w:tr>
      <w:tr w:rsidR="002E15E4"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43" w:name="B2BB2C"/>
            <w:r w:rsidRPr="002857EB">
              <w:rPr>
                <w:sz w:val="18"/>
                <w:szCs w:val="18"/>
              </w:rPr>
              <w:t>B2B/B2C</w:t>
            </w:r>
            <w:bookmarkEnd w:id="43"/>
          </w:p>
        </w:tc>
        <w:tc>
          <w:tcPr>
            <w:tcW w:w="8082" w:type="dxa"/>
          </w:tcPr>
          <w:p w:rsidR="002E15E4" w:rsidRPr="002857EB" w:rsidRDefault="002E15E4" w:rsidP="008836EB">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Business to Business/ Business to Consumer</w:t>
            </w:r>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44" w:name="CCD"/>
            <w:r w:rsidRPr="002857EB">
              <w:rPr>
                <w:sz w:val="18"/>
                <w:szCs w:val="18"/>
              </w:rPr>
              <w:t>CCD</w:t>
            </w:r>
            <w:bookmarkEnd w:id="44"/>
            <w:r w:rsidRPr="002857EB">
              <w:rPr>
                <w:sz w:val="18"/>
                <w:szCs w:val="18"/>
              </w:rPr>
              <w:t>+</w:t>
            </w:r>
          </w:p>
        </w:tc>
        <w:tc>
          <w:tcPr>
            <w:tcW w:w="8082" w:type="dxa"/>
          </w:tcPr>
          <w:p w:rsidR="002E15E4" w:rsidRPr="002857EB" w:rsidRDefault="002E15E4" w:rsidP="008836E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Cash Concentration and Disbursement plus remittance re-association number</w:t>
            </w:r>
          </w:p>
        </w:tc>
      </w:tr>
      <w:tr w:rsidR="002E15E4"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45" w:name="CCR"/>
            <w:r w:rsidRPr="002857EB">
              <w:rPr>
                <w:sz w:val="18"/>
                <w:szCs w:val="18"/>
              </w:rPr>
              <w:t>CCR</w:t>
            </w:r>
            <w:bookmarkEnd w:id="45"/>
          </w:p>
        </w:tc>
        <w:tc>
          <w:tcPr>
            <w:tcW w:w="8082" w:type="dxa"/>
          </w:tcPr>
          <w:p w:rsidR="002E15E4" w:rsidRPr="002857EB" w:rsidRDefault="002E15E4" w:rsidP="00306F7E">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Continuity of Care Record</w:t>
            </w:r>
            <w:r w:rsidR="008114CF" w:rsidRPr="002857EB">
              <w:rPr>
                <w:sz w:val="18"/>
                <w:szCs w:val="18"/>
              </w:rPr>
              <w:t xml:space="preserve">. The Continuity of Care Record (CCR) is a snapshot in time of a patient’s healthcare, a core data set that shows the most relevant facts about a patient’s health status and the physician’s treatment of that patient. Like a doctor’s handwritten notes, the CCR is prepared by the practitioner at the conclusion of the healthcare encounter. While still in use in a wide variety of settings today, the trend for the industry is moving toward the CCD </w:t>
            </w:r>
            <w:r w:rsidR="0029408B" w:rsidRPr="002857EB">
              <w:rPr>
                <w:sz w:val="18"/>
                <w:szCs w:val="18"/>
              </w:rPr>
              <w:t>standard.</w:t>
            </w:r>
            <w:r w:rsidR="0029408B" w:rsidRPr="002857EB">
              <w:rPr>
                <w:b/>
                <w:sz w:val="18"/>
                <w:szCs w:val="18"/>
              </w:rPr>
              <w:t xml:space="preserve"> Source</w:t>
            </w:r>
            <w:r w:rsidR="008114CF" w:rsidRPr="002857EB">
              <w:rPr>
                <w:b/>
                <w:sz w:val="18"/>
                <w:szCs w:val="18"/>
              </w:rPr>
              <w:t xml:space="preserve">: </w:t>
            </w:r>
            <w:hyperlink r:id="rId15" w:history="1">
              <w:r w:rsidR="00F90917" w:rsidRPr="00906922">
                <w:rPr>
                  <w:rStyle w:val="Hyperlink"/>
                  <w:b/>
                  <w:sz w:val="18"/>
                  <w:szCs w:val="18"/>
                </w:rPr>
                <w:t>http://www.astm.org/Standards/E2369.htm</w:t>
              </w:r>
            </w:hyperlink>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46" w:name="CHAPS"/>
            <w:r w:rsidRPr="002857EB">
              <w:rPr>
                <w:sz w:val="18"/>
                <w:szCs w:val="18"/>
              </w:rPr>
              <w:t>CHAPS</w:t>
            </w:r>
            <w:bookmarkEnd w:id="46"/>
          </w:p>
        </w:tc>
        <w:tc>
          <w:tcPr>
            <w:tcW w:w="8082" w:type="dxa"/>
          </w:tcPr>
          <w:p w:rsidR="002E15E4" w:rsidRPr="002857EB" w:rsidRDefault="002E15E4" w:rsidP="008836E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Clearinghouse Automated Payment System (U.K.)</w:t>
            </w:r>
          </w:p>
        </w:tc>
      </w:tr>
      <w:tr w:rsidR="002E15E4"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47" w:name="CHATS"/>
            <w:r w:rsidRPr="002857EB">
              <w:rPr>
                <w:sz w:val="18"/>
                <w:szCs w:val="18"/>
              </w:rPr>
              <w:t>CHATS</w:t>
            </w:r>
            <w:bookmarkEnd w:id="47"/>
          </w:p>
        </w:tc>
        <w:tc>
          <w:tcPr>
            <w:tcW w:w="8082" w:type="dxa"/>
          </w:tcPr>
          <w:p w:rsidR="002E15E4" w:rsidRPr="002857EB" w:rsidRDefault="002E15E4" w:rsidP="008836EB">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Clearinghouse Automated Transfer System (Hong Kong)</w:t>
            </w:r>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48" w:name="CHIPS"/>
            <w:r w:rsidRPr="002857EB">
              <w:rPr>
                <w:sz w:val="18"/>
                <w:szCs w:val="18"/>
              </w:rPr>
              <w:t>ChIPS</w:t>
            </w:r>
            <w:bookmarkEnd w:id="48"/>
          </w:p>
        </w:tc>
        <w:tc>
          <w:tcPr>
            <w:tcW w:w="8082" w:type="dxa"/>
          </w:tcPr>
          <w:p w:rsidR="002E15E4" w:rsidRPr="002857EB" w:rsidRDefault="002E15E4" w:rsidP="008836E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Clearin</w:t>
            </w:r>
            <w:r w:rsidR="00306F7E" w:rsidRPr="002857EB">
              <w:rPr>
                <w:sz w:val="18"/>
                <w:szCs w:val="18"/>
              </w:rPr>
              <w:t xml:space="preserve">ghouse Interbank Payment System. </w:t>
            </w:r>
            <w:r w:rsidR="00306F7E" w:rsidRPr="002857EB">
              <w:rPr>
                <w:b/>
                <w:sz w:val="18"/>
                <w:szCs w:val="18"/>
              </w:rPr>
              <w:t xml:space="preserve">See: </w:t>
            </w:r>
            <w:hyperlink r:id="rId16" w:history="1">
              <w:r w:rsidR="00F90917" w:rsidRPr="00906922">
                <w:rPr>
                  <w:rStyle w:val="Hyperlink"/>
                  <w:b/>
                  <w:sz w:val="18"/>
                  <w:szCs w:val="18"/>
                </w:rPr>
                <w:t>http://www.chips.org/home.php</w:t>
              </w:r>
            </w:hyperlink>
          </w:p>
        </w:tc>
      </w:tr>
      <w:tr w:rsidR="002E15E4"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49" w:name="CLS"/>
            <w:r w:rsidRPr="002857EB">
              <w:rPr>
                <w:sz w:val="18"/>
                <w:szCs w:val="18"/>
              </w:rPr>
              <w:t>CLS</w:t>
            </w:r>
            <w:bookmarkEnd w:id="49"/>
          </w:p>
        </w:tc>
        <w:tc>
          <w:tcPr>
            <w:tcW w:w="8082" w:type="dxa"/>
          </w:tcPr>
          <w:p w:rsidR="002E15E4" w:rsidRPr="002857EB" w:rsidRDefault="00306F7E" w:rsidP="008836EB">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 xml:space="preserve">Continuous Linked Settlement. </w:t>
            </w:r>
            <w:r w:rsidRPr="002857EB">
              <w:rPr>
                <w:b/>
                <w:sz w:val="18"/>
                <w:szCs w:val="18"/>
              </w:rPr>
              <w:t xml:space="preserve">See: </w:t>
            </w:r>
            <w:hyperlink r:id="rId17" w:history="1">
              <w:r w:rsidR="00CE48B0" w:rsidRPr="00906922">
                <w:rPr>
                  <w:rStyle w:val="Hyperlink"/>
                  <w:b/>
                  <w:sz w:val="18"/>
                  <w:szCs w:val="18"/>
                </w:rPr>
                <w:t>http://www.cls-group.com/Pages/default.aspx</w:t>
              </w:r>
            </w:hyperlink>
            <w:r w:rsidR="00CE48B0">
              <w:rPr>
                <w:b/>
                <w:sz w:val="18"/>
                <w:szCs w:val="18"/>
              </w:rPr>
              <w:t xml:space="preserve"> </w:t>
            </w:r>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50" w:name="CTX"/>
            <w:r w:rsidRPr="002857EB">
              <w:rPr>
                <w:sz w:val="18"/>
                <w:szCs w:val="18"/>
              </w:rPr>
              <w:t>CTX</w:t>
            </w:r>
            <w:bookmarkEnd w:id="50"/>
          </w:p>
        </w:tc>
        <w:tc>
          <w:tcPr>
            <w:tcW w:w="8082" w:type="dxa"/>
          </w:tcPr>
          <w:p w:rsidR="002E15E4" w:rsidRPr="002857EB" w:rsidRDefault="002E15E4" w:rsidP="008836E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Corporate Trade Exchange</w:t>
            </w:r>
          </w:p>
        </w:tc>
      </w:tr>
      <w:tr w:rsidR="002E15E4"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51" w:name="EFT"/>
            <w:r w:rsidRPr="002857EB">
              <w:rPr>
                <w:sz w:val="18"/>
                <w:szCs w:val="18"/>
              </w:rPr>
              <w:t>EFT</w:t>
            </w:r>
            <w:bookmarkEnd w:id="51"/>
          </w:p>
        </w:tc>
        <w:tc>
          <w:tcPr>
            <w:tcW w:w="8082" w:type="dxa"/>
          </w:tcPr>
          <w:p w:rsidR="002E15E4" w:rsidRPr="002857EB" w:rsidRDefault="002E15E4" w:rsidP="008836EB">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Electronic Funds Transfer</w:t>
            </w:r>
            <w:r w:rsidR="00F90917">
              <w:rPr>
                <w:sz w:val="18"/>
                <w:szCs w:val="18"/>
              </w:rPr>
              <w:t xml:space="preserve">. </w:t>
            </w:r>
            <w:r w:rsidR="00F90917" w:rsidRPr="00F90917">
              <w:rPr>
                <w:sz w:val="18"/>
                <w:szCs w:val="18"/>
              </w:rPr>
              <w:t xml:space="preserve">Transfer of funds electronically rather than by check or cash. The Federal Reserve's </w:t>
            </w:r>
            <w:hyperlink w:anchor="FedWire" w:history="1">
              <w:r w:rsidR="00F90917" w:rsidRPr="00C23416">
                <w:rPr>
                  <w:rStyle w:val="Hyperlink"/>
                  <w:sz w:val="18"/>
                  <w:szCs w:val="18"/>
                </w:rPr>
                <w:t>Fedwire</w:t>
              </w:r>
            </w:hyperlink>
            <w:r w:rsidR="00F90917" w:rsidRPr="00F90917">
              <w:rPr>
                <w:sz w:val="18"/>
                <w:szCs w:val="18"/>
              </w:rPr>
              <w:t xml:space="preserve"> and automated </w:t>
            </w:r>
            <w:r w:rsidR="007B3631" w:rsidRPr="00F90917">
              <w:rPr>
                <w:sz w:val="18"/>
                <w:szCs w:val="18"/>
              </w:rPr>
              <w:t>clearinghouse</w:t>
            </w:r>
            <w:r w:rsidR="00F90917" w:rsidRPr="00F90917">
              <w:rPr>
                <w:sz w:val="18"/>
                <w:szCs w:val="18"/>
              </w:rPr>
              <w:t xml:space="preserve"> services are EFT systems.</w:t>
            </w:r>
            <w:r w:rsidR="00F90917">
              <w:rPr>
                <w:sz w:val="18"/>
                <w:szCs w:val="18"/>
              </w:rPr>
              <w:t xml:space="preserve"> </w:t>
            </w:r>
            <w:r w:rsidR="00F90917" w:rsidRPr="002857EB">
              <w:rPr>
                <w:b/>
                <w:sz w:val="18"/>
                <w:szCs w:val="18"/>
              </w:rPr>
              <w:t>Source:</w:t>
            </w:r>
            <w:r w:rsidR="00F90917">
              <w:rPr>
                <w:b/>
                <w:sz w:val="18"/>
                <w:szCs w:val="18"/>
              </w:rPr>
              <w:t xml:space="preserve"> </w:t>
            </w:r>
            <w:hyperlink r:id="rId18" w:history="1">
              <w:r w:rsidR="00F90917" w:rsidRPr="00906922">
                <w:rPr>
                  <w:rStyle w:val="Hyperlink"/>
                  <w:b/>
                  <w:sz w:val="18"/>
                  <w:szCs w:val="18"/>
                </w:rPr>
                <w:t>http://financial-dictionary.thefreedictionary.com/Electronic+Funds+Transfer</w:t>
              </w:r>
            </w:hyperlink>
            <w:r w:rsidR="00F90917">
              <w:rPr>
                <w:b/>
                <w:sz w:val="18"/>
                <w:szCs w:val="18"/>
              </w:rPr>
              <w:t xml:space="preserve"> </w:t>
            </w:r>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52" w:name="EOB"/>
            <w:r w:rsidRPr="002857EB">
              <w:rPr>
                <w:sz w:val="18"/>
                <w:szCs w:val="18"/>
              </w:rPr>
              <w:t>EOB</w:t>
            </w:r>
            <w:bookmarkEnd w:id="52"/>
          </w:p>
        </w:tc>
        <w:tc>
          <w:tcPr>
            <w:tcW w:w="8082" w:type="dxa"/>
          </w:tcPr>
          <w:p w:rsidR="002E15E4" w:rsidRPr="002857EB" w:rsidRDefault="002E15E4" w:rsidP="008836E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Explanation of Benefits</w:t>
            </w:r>
          </w:p>
        </w:tc>
      </w:tr>
      <w:tr w:rsidR="002E15E4"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53" w:name="EPN"/>
            <w:r w:rsidRPr="002857EB">
              <w:rPr>
                <w:sz w:val="18"/>
                <w:szCs w:val="18"/>
              </w:rPr>
              <w:t>EPN</w:t>
            </w:r>
            <w:bookmarkEnd w:id="53"/>
          </w:p>
        </w:tc>
        <w:tc>
          <w:tcPr>
            <w:tcW w:w="8082" w:type="dxa"/>
          </w:tcPr>
          <w:p w:rsidR="002E15E4" w:rsidRPr="002857EB" w:rsidRDefault="002E15E4" w:rsidP="008836EB">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e-Payment Network (One of the nation’s oldest payment networks)</w:t>
            </w:r>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54" w:name="ERA"/>
            <w:r w:rsidRPr="002857EB">
              <w:rPr>
                <w:sz w:val="18"/>
                <w:szCs w:val="18"/>
              </w:rPr>
              <w:t>ERA</w:t>
            </w:r>
            <w:bookmarkEnd w:id="54"/>
          </w:p>
        </w:tc>
        <w:tc>
          <w:tcPr>
            <w:tcW w:w="8082" w:type="dxa"/>
          </w:tcPr>
          <w:p w:rsidR="002E15E4" w:rsidRPr="002857EB" w:rsidRDefault="002E15E4" w:rsidP="008836E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Electronic Remittance Advice</w:t>
            </w:r>
          </w:p>
        </w:tc>
      </w:tr>
      <w:tr w:rsidR="002E15E4" w:rsidRPr="002857EB" w:rsidTr="002857EB">
        <w:trPr>
          <w:cnfStyle w:val="000000100000" w:firstRow="0" w:lastRow="0" w:firstColumn="0" w:lastColumn="0" w:oddVBand="0" w:evenVBand="0" w:oddHBand="1" w:evenHBand="0" w:firstRowFirstColumn="0" w:firstRowLastColumn="0" w:lastRowFirstColumn="0" w:lastRowLastColumn="0"/>
          <w:cantSplit/>
          <w:trHeight w:val="737"/>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55" w:name="FedWire"/>
            <w:r w:rsidRPr="002857EB">
              <w:rPr>
                <w:sz w:val="18"/>
                <w:szCs w:val="18"/>
              </w:rPr>
              <w:t>FedWire</w:t>
            </w:r>
            <w:bookmarkEnd w:id="55"/>
          </w:p>
        </w:tc>
        <w:tc>
          <w:tcPr>
            <w:tcW w:w="8082" w:type="dxa"/>
          </w:tcPr>
          <w:p w:rsidR="002E15E4" w:rsidRPr="002857EB" w:rsidRDefault="00306F7E" w:rsidP="00CE48B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 xml:space="preserve">Federal Reserve Wire Network. </w:t>
            </w:r>
            <w:r w:rsidR="002E15E4" w:rsidRPr="002857EB">
              <w:rPr>
                <w:sz w:val="18"/>
                <w:szCs w:val="18"/>
              </w:rPr>
              <w:t>Fedwire is the primary United States network for large-value or time-critical dome</w:t>
            </w:r>
            <w:r w:rsidRPr="002857EB">
              <w:rPr>
                <w:sz w:val="18"/>
                <w:szCs w:val="18"/>
              </w:rPr>
              <w:t xml:space="preserve">stic and international payments. </w:t>
            </w:r>
            <w:r w:rsidRPr="002857EB">
              <w:rPr>
                <w:b/>
                <w:sz w:val="18"/>
                <w:szCs w:val="18"/>
              </w:rPr>
              <w:t xml:space="preserve">See: </w:t>
            </w:r>
            <w:hyperlink r:id="rId19" w:history="1">
              <w:r w:rsidR="00CE48B0" w:rsidRPr="00906922">
                <w:rPr>
                  <w:rStyle w:val="Hyperlink"/>
                  <w:b/>
                  <w:sz w:val="18"/>
                  <w:szCs w:val="18"/>
                </w:rPr>
                <w:t>http://www.federalreserve.gov/paymentsystems/coreprinciples/default.htm</w:t>
              </w:r>
            </w:hyperlink>
            <w:r w:rsidR="00CE48B0">
              <w:t xml:space="preserve"> </w:t>
            </w:r>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56" w:name="FileAct"/>
            <w:r w:rsidRPr="002857EB">
              <w:rPr>
                <w:sz w:val="18"/>
                <w:szCs w:val="18"/>
              </w:rPr>
              <w:t>FileAct</w:t>
            </w:r>
            <w:bookmarkEnd w:id="56"/>
          </w:p>
        </w:tc>
        <w:tc>
          <w:tcPr>
            <w:tcW w:w="8082" w:type="dxa"/>
          </w:tcPr>
          <w:p w:rsidR="002E15E4" w:rsidRPr="002857EB" w:rsidRDefault="002E15E4" w:rsidP="008836E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FileAct allows secure and reliable transfer of files and is typically used to exchange batches of structured financial messages and large reports. It supports tailored solutions for market infrastructure communities, closed user groups and financial institutions. FileAct</w:t>
            </w:r>
            <w:r w:rsidR="0029408B">
              <w:rPr>
                <w:sz w:val="18"/>
                <w:szCs w:val="18"/>
              </w:rPr>
              <w:t xml:space="preserve"> </w:t>
            </w:r>
            <w:r w:rsidRPr="002857EB">
              <w:rPr>
                <w:sz w:val="18"/>
                <w:szCs w:val="18"/>
              </w:rPr>
              <w:t>is particularly suitable for bulk payments, securities value-added information and reporting, and for other purposes, such as central-bank reporting and intra-institution reporting.</w:t>
            </w:r>
          </w:p>
        </w:tc>
      </w:tr>
      <w:tr w:rsidR="002E15E4"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57" w:name="HHS"/>
            <w:r w:rsidRPr="002857EB">
              <w:rPr>
                <w:sz w:val="18"/>
                <w:szCs w:val="18"/>
              </w:rPr>
              <w:t>HHS</w:t>
            </w:r>
            <w:bookmarkEnd w:id="57"/>
          </w:p>
        </w:tc>
        <w:tc>
          <w:tcPr>
            <w:tcW w:w="8082" w:type="dxa"/>
          </w:tcPr>
          <w:p w:rsidR="002E15E4" w:rsidRPr="002857EB" w:rsidRDefault="008114CF" w:rsidP="008114CF">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 xml:space="preserve">The U.S. Department of </w:t>
            </w:r>
            <w:r w:rsidR="002E15E4" w:rsidRPr="002857EB">
              <w:rPr>
                <w:sz w:val="18"/>
                <w:szCs w:val="18"/>
              </w:rPr>
              <w:t>Healt</w:t>
            </w:r>
            <w:r w:rsidRPr="002857EB">
              <w:rPr>
                <w:sz w:val="18"/>
                <w:szCs w:val="18"/>
              </w:rPr>
              <w:t>h and Human Services</w:t>
            </w:r>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58" w:name="HIE"/>
            <w:r w:rsidRPr="002857EB">
              <w:rPr>
                <w:sz w:val="18"/>
                <w:szCs w:val="18"/>
              </w:rPr>
              <w:lastRenderedPageBreak/>
              <w:t>HIE</w:t>
            </w:r>
            <w:bookmarkEnd w:id="58"/>
          </w:p>
        </w:tc>
        <w:tc>
          <w:tcPr>
            <w:tcW w:w="8082" w:type="dxa"/>
          </w:tcPr>
          <w:p w:rsidR="002E6A2C" w:rsidRPr="002857EB" w:rsidRDefault="002E15E4" w:rsidP="002E6A2C">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Health Information Exchange</w:t>
            </w:r>
            <w:r w:rsidR="002E6A2C" w:rsidRPr="002857EB">
              <w:rPr>
                <w:sz w:val="18"/>
                <w:szCs w:val="18"/>
              </w:rPr>
              <w:t>.</w:t>
            </w:r>
          </w:p>
          <w:p w:rsidR="002E6A2C" w:rsidRPr="002857EB" w:rsidRDefault="002E6A2C" w:rsidP="002E6A2C">
            <w:pPr>
              <w:pStyle w:val="NoSpacing"/>
              <w:cnfStyle w:val="000000000000" w:firstRow="0" w:lastRow="0" w:firstColumn="0" w:lastColumn="0" w:oddVBand="0" w:evenVBand="0" w:oddHBand="0" w:evenHBand="0" w:firstRowFirstColumn="0" w:firstRowLastColumn="0" w:lastRowFirstColumn="0" w:lastRowLastColumn="0"/>
              <w:rPr>
                <w:b/>
                <w:sz w:val="18"/>
                <w:szCs w:val="18"/>
              </w:rPr>
            </w:pPr>
            <w:r w:rsidRPr="002857EB">
              <w:rPr>
                <w:b/>
                <w:sz w:val="18"/>
                <w:szCs w:val="18"/>
              </w:rPr>
              <w:t>Used as a noun:</w:t>
            </w:r>
          </w:p>
          <w:p w:rsidR="002E6A2C" w:rsidRPr="002857EB" w:rsidRDefault="002E6A2C" w:rsidP="002E6A2C">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An organization that enables the exchange of health information, typically clinical information, across diverse stakeholders, that governs the exchange of health information for the purpose of bringing greater efficiencies to the exchange of clinical data and improving the quality of healthcare in that community. This organization might also be referred to as a Health Information Organization (HIO).</w:t>
            </w:r>
          </w:p>
          <w:p w:rsidR="002E6A2C" w:rsidRPr="002857EB" w:rsidRDefault="002E6A2C" w:rsidP="002E6A2C">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 xml:space="preserve">- HIE participants include hospitals, providers, labs, imaging centers, </w:t>
            </w:r>
            <w:hyperlink w:anchor="RHIO" w:history="1">
              <w:r w:rsidRPr="009A2217">
                <w:rPr>
                  <w:rStyle w:val="Hyperlink"/>
                  <w:sz w:val="18"/>
                  <w:szCs w:val="18"/>
                </w:rPr>
                <w:t>RHIO</w:t>
              </w:r>
            </w:hyperlink>
            <w:r w:rsidRPr="002857EB">
              <w:rPr>
                <w:sz w:val="18"/>
                <w:szCs w:val="18"/>
              </w:rPr>
              <w:t xml:space="preserve">s, </w:t>
            </w:r>
            <w:hyperlink w:anchor="HIE" w:history="1">
              <w:r w:rsidRPr="009A2217">
                <w:rPr>
                  <w:rStyle w:val="Hyperlink"/>
                  <w:sz w:val="18"/>
                  <w:szCs w:val="18"/>
                </w:rPr>
                <w:t>HIEs</w:t>
              </w:r>
            </w:hyperlink>
            <w:r w:rsidRPr="002857EB">
              <w:rPr>
                <w:sz w:val="18"/>
                <w:szCs w:val="18"/>
              </w:rPr>
              <w:t>, nursing facilities, payers, state public health entities, etc.</w:t>
            </w:r>
          </w:p>
          <w:p w:rsidR="002E6A2C" w:rsidRPr="002857EB" w:rsidRDefault="002E6A2C" w:rsidP="002E6A2C">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 Data shared may include lab results, discharge summaries, medication histories, e-prescriptions, allergies, immunizations, advanced directives, etc.</w:t>
            </w:r>
          </w:p>
          <w:p w:rsidR="002E6A2C" w:rsidRPr="002857EB" w:rsidRDefault="002E6A2C" w:rsidP="002E6A2C">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 HIE services typically include results delivery, record locator services, consent management, and e-prescribing.</w:t>
            </w:r>
          </w:p>
          <w:p w:rsidR="002E6A2C" w:rsidRPr="002857EB" w:rsidRDefault="002E6A2C" w:rsidP="002E6A2C">
            <w:pPr>
              <w:pStyle w:val="NoSpacing"/>
              <w:cnfStyle w:val="000000000000" w:firstRow="0" w:lastRow="0" w:firstColumn="0" w:lastColumn="0" w:oddVBand="0" w:evenVBand="0" w:oddHBand="0" w:evenHBand="0" w:firstRowFirstColumn="0" w:firstRowLastColumn="0" w:lastRowFirstColumn="0" w:lastRowLastColumn="0"/>
              <w:rPr>
                <w:b/>
                <w:sz w:val="18"/>
                <w:szCs w:val="18"/>
              </w:rPr>
            </w:pPr>
            <w:r w:rsidRPr="002857EB">
              <w:rPr>
                <w:b/>
                <w:sz w:val="18"/>
                <w:szCs w:val="18"/>
              </w:rPr>
              <w:t>Used as a verb:</w:t>
            </w:r>
          </w:p>
          <w:p w:rsidR="002E15E4" w:rsidRPr="002857EB" w:rsidRDefault="002E6A2C" w:rsidP="002E6A2C">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 xml:space="preserve">Health information exchange (HIE) is defined as the mobilization of healthcare information electronically across </w:t>
            </w:r>
            <w:r w:rsidR="0029408B" w:rsidRPr="002857EB">
              <w:rPr>
                <w:sz w:val="18"/>
                <w:szCs w:val="18"/>
              </w:rPr>
              <w:t>organizations.</w:t>
            </w:r>
            <w:r w:rsidR="0029408B" w:rsidRPr="002857EB">
              <w:rPr>
                <w:b/>
                <w:sz w:val="18"/>
                <w:szCs w:val="18"/>
              </w:rPr>
              <w:t xml:space="preserve"> Source</w:t>
            </w:r>
            <w:r w:rsidRPr="002857EB">
              <w:rPr>
                <w:b/>
                <w:sz w:val="18"/>
                <w:szCs w:val="18"/>
              </w:rPr>
              <w:t xml:space="preserve">: </w:t>
            </w:r>
            <w:hyperlink r:id="rId20" w:history="1">
              <w:r w:rsidR="00CE48B0" w:rsidRPr="00906922">
                <w:rPr>
                  <w:rStyle w:val="Hyperlink"/>
                  <w:b/>
                  <w:sz w:val="18"/>
                  <w:szCs w:val="18"/>
                </w:rPr>
                <w:t>http://www.ehnac.org/files/PDF/Glossary_of_Terms_092811.pdf</w:t>
              </w:r>
            </w:hyperlink>
            <w:r w:rsidR="00CE48B0">
              <w:rPr>
                <w:b/>
                <w:sz w:val="18"/>
                <w:szCs w:val="18"/>
              </w:rPr>
              <w:t xml:space="preserve"> </w:t>
            </w:r>
          </w:p>
        </w:tc>
      </w:tr>
      <w:tr w:rsidR="00B77A33"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B77A33" w:rsidRPr="002857EB" w:rsidRDefault="00B77A33" w:rsidP="008836EB">
            <w:pPr>
              <w:pStyle w:val="NoSpacing"/>
              <w:rPr>
                <w:sz w:val="18"/>
                <w:szCs w:val="18"/>
              </w:rPr>
            </w:pPr>
            <w:bookmarkStart w:id="59" w:name="HIMSSInteroperabilityShowcase"/>
            <w:r>
              <w:rPr>
                <w:sz w:val="18"/>
                <w:szCs w:val="18"/>
              </w:rPr>
              <w:t>HIMSS Interopera-bility Showcase</w:t>
            </w:r>
            <w:bookmarkEnd w:id="59"/>
          </w:p>
        </w:tc>
        <w:tc>
          <w:tcPr>
            <w:tcW w:w="8082" w:type="dxa"/>
          </w:tcPr>
          <w:p w:rsidR="00B77A33" w:rsidRPr="002857EB" w:rsidRDefault="00B77A33" w:rsidP="008836EB">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B77A33">
              <w:rPr>
                <w:sz w:val="18"/>
                <w:szCs w:val="18"/>
              </w:rPr>
              <w:t>HIMSS Interoperability Showcases held during HIMSS conferences at locations across the globe, are unique events where healthcare stakeholders come together to demonstrate the benefits of using standards-based interoperable health IT solutions for effective and secure health data information exchange. Educational opportunities at the Showcase connect thousands of health IT buyers and end-users to answer the most complex health IT questions.</w:t>
            </w:r>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60" w:name="HIPAA"/>
            <w:r w:rsidRPr="002857EB">
              <w:rPr>
                <w:sz w:val="18"/>
                <w:szCs w:val="18"/>
              </w:rPr>
              <w:t>HIPAA</w:t>
            </w:r>
            <w:bookmarkEnd w:id="60"/>
          </w:p>
        </w:tc>
        <w:tc>
          <w:tcPr>
            <w:tcW w:w="8082" w:type="dxa"/>
          </w:tcPr>
          <w:p w:rsidR="002E15E4" w:rsidRPr="002857EB" w:rsidRDefault="00FD275B" w:rsidP="008836E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 xml:space="preserve">The </w:t>
            </w:r>
            <w:r w:rsidR="002E15E4" w:rsidRPr="002857EB">
              <w:rPr>
                <w:sz w:val="18"/>
                <w:szCs w:val="18"/>
              </w:rPr>
              <w:t>Health Insurance Portability and Accountability Act</w:t>
            </w:r>
            <w:r w:rsidRPr="002857EB">
              <w:rPr>
                <w:sz w:val="18"/>
                <w:szCs w:val="18"/>
              </w:rPr>
              <w:t xml:space="preserve"> of 1996.</w:t>
            </w:r>
          </w:p>
        </w:tc>
      </w:tr>
      <w:tr w:rsidR="00FD275B"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FD275B" w:rsidRPr="002857EB" w:rsidRDefault="00FD275B" w:rsidP="008836EB">
            <w:pPr>
              <w:pStyle w:val="NoSpacing"/>
              <w:rPr>
                <w:sz w:val="18"/>
                <w:szCs w:val="18"/>
              </w:rPr>
            </w:pPr>
            <w:bookmarkStart w:id="61" w:name="HITECH"/>
            <w:r w:rsidRPr="002857EB">
              <w:rPr>
                <w:sz w:val="18"/>
                <w:szCs w:val="18"/>
              </w:rPr>
              <w:t>HITECH</w:t>
            </w:r>
            <w:bookmarkEnd w:id="61"/>
          </w:p>
        </w:tc>
        <w:tc>
          <w:tcPr>
            <w:tcW w:w="8082" w:type="dxa"/>
          </w:tcPr>
          <w:p w:rsidR="00FD275B" w:rsidRPr="002857EB" w:rsidRDefault="00FD275B" w:rsidP="008836EB">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 xml:space="preserve">The Health Information Technology for Economic and Clinical Health Act, enacted as part of the American Recovery and Reinvestment Act of 2009, was signed into law on February 17, 2009, to promote the adoption and meaningful use of health information technology. Subtitle D of the HITECH Act addresses the privacy and security concerns associated with the electronic transmission of health information, in part, through several provisions that strengthen the civil and criminal enforcement of the HIPAA </w:t>
            </w:r>
            <w:r w:rsidR="0029408B" w:rsidRPr="002857EB">
              <w:rPr>
                <w:sz w:val="18"/>
                <w:szCs w:val="18"/>
              </w:rPr>
              <w:t>rules.</w:t>
            </w:r>
            <w:r w:rsidR="0029408B" w:rsidRPr="002857EB">
              <w:rPr>
                <w:b/>
                <w:sz w:val="18"/>
                <w:szCs w:val="18"/>
              </w:rPr>
              <w:t xml:space="preserve"> Source</w:t>
            </w:r>
            <w:r w:rsidRPr="002857EB">
              <w:rPr>
                <w:b/>
                <w:sz w:val="18"/>
                <w:szCs w:val="18"/>
              </w:rPr>
              <w:t xml:space="preserve">: </w:t>
            </w:r>
            <w:hyperlink r:id="rId21" w:history="1">
              <w:r w:rsidR="00CE48B0" w:rsidRPr="00906922">
                <w:rPr>
                  <w:rStyle w:val="Hyperlink"/>
                  <w:b/>
                  <w:sz w:val="18"/>
                  <w:szCs w:val="18"/>
                </w:rPr>
                <w:t>http://www.ehnac.org/files/PDF/Glossary_of_Terms_092811.pdf</w:t>
              </w:r>
            </w:hyperlink>
            <w:r w:rsidR="00CE48B0">
              <w:rPr>
                <w:b/>
                <w:sz w:val="18"/>
                <w:szCs w:val="18"/>
              </w:rPr>
              <w:t xml:space="preserve"> </w:t>
            </w:r>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EE2CCF" w:rsidP="008836EB">
            <w:pPr>
              <w:pStyle w:val="NoSpacing"/>
              <w:rPr>
                <w:sz w:val="18"/>
                <w:szCs w:val="18"/>
              </w:rPr>
            </w:pPr>
            <w:bookmarkStart w:id="62" w:name="HSA"/>
            <w:r w:rsidRPr="002857EB">
              <w:rPr>
                <w:sz w:val="18"/>
                <w:szCs w:val="18"/>
              </w:rPr>
              <w:t>H</w:t>
            </w:r>
            <w:r w:rsidR="002E15E4" w:rsidRPr="002857EB">
              <w:rPr>
                <w:sz w:val="18"/>
                <w:szCs w:val="18"/>
              </w:rPr>
              <w:t>S</w:t>
            </w:r>
            <w:r w:rsidRPr="002857EB">
              <w:rPr>
                <w:sz w:val="18"/>
                <w:szCs w:val="18"/>
              </w:rPr>
              <w:t>A</w:t>
            </w:r>
            <w:bookmarkEnd w:id="62"/>
          </w:p>
        </w:tc>
        <w:tc>
          <w:tcPr>
            <w:tcW w:w="8082" w:type="dxa"/>
          </w:tcPr>
          <w:p w:rsidR="002E15E4" w:rsidRPr="002857EB" w:rsidRDefault="002E15E4" w:rsidP="008836E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Health Savings Account</w:t>
            </w:r>
          </w:p>
        </w:tc>
      </w:tr>
      <w:tr w:rsidR="002E15E4"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F651B6" w:rsidRPr="002857EB" w:rsidRDefault="002E15E4" w:rsidP="008836EB">
            <w:pPr>
              <w:pStyle w:val="NoSpacing"/>
              <w:rPr>
                <w:sz w:val="18"/>
                <w:szCs w:val="18"/>
              </w:rPr>
            </w:pPr>
            <w:bookmarkStart w:id="63" w:name="ICD9ICD10"/>
            <w:r w:rsidRPr="002857EB">
              <w:rPr>
                <w:sz w:val="18"/>
                <w:szCs w:val="18"/>
              </w:rPr>
              <w:t>ICD-9/</w:t>
            </w:r>
          </w:p>
          <w:p w:rsidR="002E15E4" w:rsidRPr="002857EB" w:rsidRDefault="002E15E4" w:rsidP="008836EB">
            <w:pPr>
              <w:pStyle w:val="NoSpacing"/>
              <w:rPr>
                <w:sz w:val="18"/>
                <w:szCs w:val="18"/>
              </w:rPr>
            </w:pPr>
            <w:r w:rsidRPr="002857EB">
              <w:rPr>
                <w:sz w:val="18"/>
                <w:szCs w:val="18"/>
              </w:rPr>
              <w:t>ICD-10</w:t>
            </w:r>
            <w:bookmarkEnd w:id="63"/>
          </w:p>
        </w:tc>
        <w:tc>
          <w:tcPr>
            <w:tcW w:w="8082" w:type="dxa"/>
          </w:tcPr>
          <w:p w:rsidR="002E15E4" w:rsidRPr="002857EB" w:rsidRDefault="002E15E4" w:rsidP="008836EB">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International Classification of Disease</w:t>
            </w:r>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64" w:name="ISO"/>
            <w:r w:rsidRPr="002857EB">
              <w:rPr>
                <w:sz w:val="18"/>
                <w:szCs w:val="18"/>
              </w:rPr>
              <w:t>ISO</w:t>
            </w:r>
            <w:bookmarkEnd w:id="64"/>
          </w:p>
        </w:tc>
        <w:tc>
          <w:tcPr>
            <w:tcW w:w="8082" w:type="dxa"/>
          </w:tcPr>
          <w:p w:rsidR="002E15E4" w:rsidRPr="002857EB" w:rsidRDefault="002E15E4" w:rsidP="008836E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International Standards Organization</w:t>
            </w:r>
          </w:p>
        </w:tc>
      </w:tr>
      <w:tr w:rsidR="002E15E4"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65" w:name="NACHAACH"/>
            <w:r w:rsidRPr="002857EB">
              <w:rPr>
                <w:sz w:val="18"/>
                <w:szCs w:val="18"/>
              </w:rPr>
              <w:t>NACHA/ACH</w:t>
            </w:r>
            <w:bookmarkEnd w:id="65"/>
          </w:p>
        </w:tc>
        <w:tc>
          <w:tcPr>
            <w:tcW w:w="8082" w:type="dxa"/>
          </w:tcPr>
          <w:p w:rsidR="002E15E4" w:rsidRPr="002857EB" w:rsidRDefault="002E15E4" w:rsidP="008836EB">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National Automated ClearingHouse</w:t>
            </w:r>
            <w:r w:rsidR="00F651B6" w:rsidRPr="002857EB">
              <w:rPr>
                <w:sz w:val="18"/>
                <w:szCs w:val="18"/>
              </w:rPr>
              <w:t xml:space="preserve"> Association/Automated Clearing </w:t>
            </w:r>
            <w:r w:rsidRPr="002857EB">
              <w:rPr>
                <w:sz w:val="18"/>
                <w:szCs w:val="18"/>
              </w:rPr>
              <w:t>House</w:t>
            </w:r>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66" w:name="NCVHS"/>
            <w:r w:rsidRPr="002857EB">
              <w:rPr>
                <w:sz w:val="18"/>
                <w:szCs w:val="18"/>
              </w:rPr>
              <w:t>NCVHS</w:t>
            </w:r>
            <w:bookmarkEnd w:id="66"/>
          </w:p>
        </w:tc>
        <w:tc>
          <w:tcPr>
            <w:tcW w:w="8082" w:type="dxa"/>
          </w:tcPr>
          <w:p w:rsidR="002E15E4" w:rsidRPr="002857EB" w:rsidRDefault="002E15E4" w:rsidP="008836E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National Center for Vital Health and Statistics</w:t>
            </w:r>
          </w:p>
        </w:tc>
      </w:tr>
      <w:tr w:rsidR="002E15E4"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67" w:name="PHI"/>
            <w:r w:rsidRPr="002857EB">
              <w:rPr>
                <w:sz w:val="18"/>
                <w:szCs w:val="18"/>
              </w:rPr>
              <w:t>PHI</w:t>
            </w:r>
            <w:bookmarkEnd w:id="67"/>
          </w:p>
        </w:tc>
        <w:tc>
          <w:tcPr>
            <w:tcW w:w="8082" w:type="dxa"/>
          </w:tcPr>
          <w:p w:rsidR="008114CF" w:rsidRPr="002857EB" w:rsidRDefault="002E15E4" w:rsidP="008114CF">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Protected Health Information</w:t>
            </w:r>
            <w:r w:rsidR="008114CF" w:rsidRPr="002857EB">
              <w:rPr>
                <w:sz w:val="18"/>
                <w:szCs w:val="18"/>
              </w:rPr>
              <w:t>. PHI is individually identifiable health information:</w:t>
            </w:r>
          </w:p>
          <w:p w:rsidR="008114CF" w:rsidRPr="002857EB" w:rsidRDefault="008114CF" w:rsidP="008114CF">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1. Except as provided in paragraph two (2.) of this definition, that is:</w:t>
            </w:r>
          </w:p>
          <w:p w:rsidR="008114CF" w:rsidRPr="002857EB" w:rsidRDefault="008114CF" w:rsidP="008114CF">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 Transmitted by electronic media;</w:t>
            </w:r>
          </w:p>
          <w:p w:rsidR="008114CF" w:rsidRPr="002857EB" w:rsidRDefault="008114CF" w:rsidP="008114CF">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 Maintained in electronic media; or</w:t>
            </w:r>
          </w:p>
          <w:p w:rsidR="008114CF" w:rsidRPr="002857EB" w:rsidRDefault="008114CF" w:rsidP="008114CF">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 Transmitted or maintained in any other form or medium.</w:t>
            </w:r>
          </w:p>
          <w:p w:rsidR="008114CF" w:rsidRPr="002857EB" w:rsidRDefault="008114CF" w:rsidP="008114CF">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2. Protected health information excludes individually identifiable health information in:</w:t>
            </w:r>
          </w:p>
          <w:p w:rsidR="008114CF" w:rsidRPr="002857EB" w:rsidRDefault="008114CF" w:rsidP="008114CF">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 Education records covered by the Family Educational Rights and Privacy Act, as amended, 20 U.S.C. 1232g;</w:t>
            </w:r>
          </w:p>
          <w:p w:rsidR="008114CF" w:rsidRPr="002857EB" w:rsidRDefault="008114CF" w:rsidP="008114CF">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 Records described at 20 U.S.C. 1232g(a)(4)(B)(iv); and</w:t>
            </w:r>
          </w:p>
          <w:p w:rsidR="002E15E4" w:rsidRPr="002857EB" w:rsidRDefault="008114CF" w:rsidP="008114CF">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 Employment records held by a covered entity in its role as employer.</w:t>
            </w:r>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68" w:name="PHR"/>
            <w:r w:rsidRPr="002857EB">
              <w:rPr>
                <w:sz w:val="18"/>
                <w:szCs w:val="18"/>
              </w:rPr>
              <w:t>PHR</w:t>
            </w:r>
            <w:bookmarkEnd w:id="68"/>
          </w:p>
        </w:tc>
        <w:tc>
          <w:tcPr>
            <w:tcW w:w="8082" w:type="dxa"/>
          </w:tcPr>
          <w:p w:rsidR="002E15E4" w:rsidRPr="002857EB" w:rsidRDefault="002E15E4" w:rsidP="008836E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 xml:space="preserve">Personal Health Records. A personal health record permits you to securely gather, store, manage and share your own and your family's health information - when you want, where you want, and with whom you choose. </w:t>
            </w:r>
            <w:r w:rsidRPr="002857EB">
              <w:rPr>
                <w:b/>
                <w:sz w:val="18"/>
                <w:szCs w:val="18"/>
              </w:rPr>
              <w:t xml:space="preserve">Source: </w:t>
            </w:r>
            <w:hyperlink r:id="rId22" w:history="1">
              <w:r w:rsidR="00CE48B0" w:rsidRPr="00906922">
                <w:rPr>
                  <w:rStyle w:val="Hyperlink"/>
                  <w:b/>
                  <w:sz w:val="18"/>
                  <w:szCs w:val="18"/>
                </w:rPr>
                <w:t>www.webmd.com/phr</w:t>
              </w:r>
            </w:hyperlink>
            <w:r w:rsidR="00CE48B0">
              <w:rPr>
                <w:b/>
                <w:sz w:val="18"/>
                <w:szCs w:val="18"/>
              </w:rPr>
              <w:t xml:space="preserve"> </w:t>
            </w:r>
          </w:p>
        </w:tc>
      </w:tr>
      <w:tr w:rsidR="002E15E4"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69" w:name="RHIO"/>
            <w:r w:rsidRPr="002857EB">
              <w:rPr>
                <w:sz w:val="18"/>
                <w:szCs w:val="18"/>
              </w:rPr>
              <w:t>RHIO</w:t>
            </w:r>
            <w:bookmarkEnd w:id="69"/>
          </w:p>
        </w:tc>
        <w:tc>
          <w:tcPr>
            <w:tcW w:w="8082" w:type="dxa"/>
          </w:tcPr>
          <w:p w:rsidR="002E15E4" w:rsidRPr="002857EB" w:rsidRDefault="00E119A4" w:rsidP="008836EB">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E119A4">
              <w:rPr>
                <w:sz w:val="18"/>
                <w:szCs w:val="18"/>
              </w:rPr>
              <w:t>Organized cross-organizational healthcare data-sharing organizations are referred to as RHIOs. These organizations are also referred to as health information exchanges (HIEs).</w:t>
            </w:r>
            <w:r>
              <w:rPr>
                <w:sz w:val="18"/>
                <w:szCs w:val="18"/>
              </w:rPr>
              <w:t xml:space="preserve"> </w:t>
            </w:r>
            <w:r w:rsidRPr="002857EB">
              <w:rPr>
                <w:b/>
                <w:sz w:val="18"/>
                <w:szCs w:val="18"/>
              </w:rPr>
              <w:t xml:space="preserve">Source: </w:t>
            </w:r>
            <w:hyperlink r:id="rId23" w:history="1">
              <w:r w:rsidR="00CE48B0" w:rsidRPr="00906922">
                <w:rPr>
                  <w:rStyle w:val="Hyperlink"/>
                  <w:b/>
                  <w:sz w:val="18"/>
                  <w:szCs w:val="18"/>
                </w:rPr>
                <w:t>http://www.ehnac.org/files/PDF/Glossary_of_Terms_092811.pdf</w:t>
              </w:r>
            </w:hyperlink>
            <w:r w:rsidR="00CE48B0">
              <w:rPr>
                <w:b/>
                <w:sz w:val="18"/>
                <w:szCs w:val="18"/>
              </w:rPr>
              <w:t xml:space="preserve"> </w:t>
            </w:r>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70" w:name="RTGS"/>
            <w:r w:rsidRPr="002857EB">
              <w:rPr>
                <w:sz w:val="18"/>
                <w:szCs w:val="18"/>
              </w:rPr>
              <w:t>RTGS</w:t>
            </w:r>
            <w:bookmarkEnd w:id="70"/>
          </w:p>
        </w:tc>
        <w:tc>
          <w:tcPr>
            <w:tcW w:w="8082" w:type="dxa"/>
          </w:tcPr>
          <w:p w:rsidR="002E15E4" w:rsidRPr="002857EB" w:rsidRDefault="002E15E4" w:rsidP="008836E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Real Time Gross Settlement</w:t>
            </w:r>
            <w:r w:rsidR="00B96EF5" w:rsidRPr="002857EB">
              <w:rPr>
                <w:sz w:val="18"/>
                <w:szCs w:val="18"/>
              </w:rPr>
              <w:t xml:space="preserve">. RTGS networks such as the </w:t>
            </w:r>
            <w:hyperlink w:anchor="FedWire" w:history="1">
              <w:r w:rsidR="00B96EF5" w:rsidRPr="00C23416">
                <w:rPr>
                  <w:rStyle w:val="Hyperlink"/>
                  <w:sz w:val="18"/>
                  <w:szCs w:val="18"/>
                </w:rPr>
                <w:t>FedWire</w:t>
              </w:r>
            </w:hyperlink>
            <w:r w:rsidR="00B96EF5" w:rsidRPr="002857EB">
              <w:rPr>
                <w:sz w:val="18"/>
                <w:szCs w:val="18"/>
              </w:rPr>
              <w:t xml:space="preserve"> system differ from </w:t>
            </w:r>
            <w:hyperlink w:anchor="ACH" w:history="1">
              <w:r w:rsidR="00B96EF5" w:rsidRPr="00B7289A">
                <w:rPr>
                  <w:rStyle w:val="Hyperlink"/>
                  <w:sz w:val="18"/>
                  <w:szCs w:val="18"/>
                </w:rPr>
                <w:t>ACH</w:t>
              </w:r>
            </w:hyperlink>
            <w:r w:rsidR="00B96EF5" w:rsidRPr="002857EB">
              <w:rPr>
                <w:sz w:val="18"/>
                <w:szCs w:val="18"/>
              </w:rPr>
              <w:t xml:space="preserve"> networks in that they are real time and non-reversible.</w:t>
            </w:r>
            <w:r w:rsidR="000E50F7">
              <w:rPr>
                <w:sz w:val="18"/>
                <w:szCs w:val="18"/>
              </w:rPr>
              <w:t xml:space="preserve"> </w:t>
            </w:r>
            <w:hyperlink w:anchor="ACH" w:history="1">
              <w:r w:rsidR="00B96EF5" w:rsidRPr="00B7289A">
                <w:rPr>
                  <w:rStyle w:val="Hyperlink"/>
                  <w:sz w:val="18"/>
                  <w:szCs w:val="18"/>
                </w:rPr>
                <w:t>ACH</w:t>
              </w:r>
            </w:hyperlink>
            <w:r w:rsidR="00B96EF5" w:rsidRPr="002857EB">
              <w:rPr>
                <w:sz w:val="18"/>
                <w:szCs w:val="18"/>
              </w:rPr>
              <w:t xml:space="preserve"> is reversible and not final, plus has a delay minimum posting of 1 day domestically and &gt;1 day in global scenarios.</w:t>
            </w:r>
            <w:r w:rsidR="000E50F7">
              <w:rPr>
                <w:sz w:val="18"/>
                <w:szCs w:val="18"/>
              </w:rPr>
              <w:t xml:space="preserve"> </w:t>
            </w:r>
            <w:r w:rsidR="00B96EF5" w:rsidRPr="002857EB">
              <w:rPr>
                <w:sz w:val="18"/>
                <w:szCs w:val="18"/>
              </w:rPr>
              <w:t>Each country has some form of RTGS system available as part of their interbank processing and clearing functions.</w:t>
            </w:r>
          </w:p>
        </w:tc>
      </w:tr>
      <w:tr w:rsidR="002E15E4"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71" w:name="SEPA"/>
            <w:r w:rsidRPr="002857EB">
              <w:rPr>
                <w:sz w:val="18"/>
                <w:szCs w:val="18"/>
              </w:rPr>
              <w:t>SEPA</w:t>
            </w:r>
            <w:bookmarkEnd w:id="71"/>
          </w:p>
        </w:tc>
        <w:tc>
          <w:tcPr>
            <w:tcW w:w="8082" w:type="dxa"/>
          </w:tcPr>
          <w:p w:rsidR="002E15E4" w:rsidRPr="002857EB" w:rsidRDefault="00306F7E" w:rsidP="00306F7E">
            <w:pPr>
              <w:pStyle w:val="NoSpacing"/>
              <w:cnfStyle w:val="000000100000" w:firstRow="0" w:lastRow="0" w:firstColumn="0" w:lastColumn="0" w:oddVBand="0" w:evenVBand="0" w:oddHBand="1" w:evenHBand="0" w:firstRowFirstColumn="0" w:firstRowLastColumn="0" w:lastRowFirstColumn="0" w:lastRowLastColumn="0"/>
              <w:rPr>
                <w:sz w:val="18"/>
                <w:szCs w:val="18"/>
                <w:u w:val="single"/>
              </w:rPr>
            </w:pPr>
            <w:r w:rsidRPr="002857EB">
              <w:rPr>
                <w:sz w:val="18"/>
                <w:szCs w:val="18"/>
              </w:rPr>
              <w:t xml:space="preserve">Single European Payments Area. </w:t>
            </w:r>
            <w:r w:rsidR="0029408B" w:rsidRPr="002857EB">
              <w:rPr>
                <w:b/>
                <w:sz w:val="18"/>
                <w:szCs w:val="18"/>
              </w:rPr>
              <w:t xml:space="preserve">See: </w:t>
            </w:r>
            <w:hyperlink r:id="rId24" w:history="1">
              <w:r w:rsidR="00CE48B0" w:rsidRPr="00906922">
                <w:rPr>
                  <w:rStyle w:val="Hyperlink"/>
                  <w:b/>
                  <w:sz w:val="18"/>
                  <w:szCs w:val="18"/>
                </w:rPr>
                <w:t>http://en.wikipedia.org/wiki/Single_Euro_Payments_Area</w:t>
              </w:r>
            </w:hyperlink>
            <w:r w:rsidR="00CE48B0">
              <w:rPr>
                <w:b/>
                <w:sz w:val="18"/>
                <w:szCs w:val="18"/>
              </w:rPr>
              <w:t xml:space="preserve"> </w:t>
            </w:r>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72" w:name="STP"/>
            <w:r w:rsidRPr="002857EB">
              <w:rPr>
                <w:sz w:val="18"/>
                <w:szCs w:val="18"/>
              </w:rPr>
              <w:t>STP</w:t>
            </w:r>
            <w:bookmarkEnd w:id="72"/>
          </w:p>
        </w:tc>
        <w:tc>
          <w:tcPr>
            <w:tcW w:w="8082" w:type="dxa"/>
          </w:tcPr>
          <w:p w:rsidR="002E15E4" w:rsidRPr="002857EB" w:rsidRDefault="002E15E4" w:rsidP="008836E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 xml:space="preserve">Straight Through Processing. An initiative used by companies in the financial world to optimize the speed at which transactions are processed. This is performed by allowing information that has been electronically entered to be transferred from one party to another in the settlement process without manually re-entering the same pieces of information repeatedly over the entire sequence of </w:t>
            </w:r>
            <w:r w:rsidR="0029408B" w:rsidRPr="002857EB">
              <w:rPr>
                <w:sz w:val="18"/>
                <w:szCs w:val="18"/>
              </w:rPr>
              <w:t>events.</w:t>
            </w:r>
            <w:r w:rsidR="0029408B" w:rsidRPr="002857EB">
              <w:rPr>
                <w:b/>
                <w:sz w:val="18"/>
                <w:szCs w:val="18"/>
              </w:rPr>
              <w:t xml:space="preserve"> Source</w:t>
            </w:r>
            <w:r w:rsidRPr="002857EB">
              <w:rPr>
                <w:b/>
                <w:sz w:val="18"/>
                <w:szCs w:val="18"/>
              </w:rPr>
              <w:t xml:space="preserve">: </w:t>
            </w:r>
            <w:hyperlink r:id="rId25" w:anchor="axzz2F8NEYBgw" w:history="1">
              <w:r w:rsidR="00CE48B0" w:rsidRPr="00906922">
                <w:rPr>
                  <w:rStyle w:val="Hyperlink"/>
                  <w:b/>
                  <w:sz w:val="18"/>
                  <w:szCs w:val="18"/>
                </w:rPr>
                <w:t>www.investopedia.com/terms/s/straightthroughprocessing.asp#axzz2F8NEYBgw</w:t>
              </w:r>
            </w:hyperlink>
            <w:r w:rsidR="00CE48B0">
              <w:rPr>
                <w:b/>
                <w:sz w:val="18"/>
                <w:szCs w:val="18"/>
              </w:rPr>
              <w:t xml:space="preserve"> </w:t>
            </w:r>
          </w:p>
        </w:tc>
      </w:tr>
      <w:tr w:rsidR="002E15E4" w:rsidRPr="002857EB" w:rsidTr="002857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73" w:name="SWIFT"/>
            <w:r w:rsidRPr="002857EB">
              <w:rPr>
                <w:sz w:val="18"/>
                <w:szCs w:val="18"/>
              </w:rPr>
              <w:t>SWIFT</w:t>
            </w:r>
            <w:bookmarkEnd w:id="73"/>
          </w:p>
        </w:tc>
        <w:tc>
          <w:tcPr>
            <w:tcW w:w="8082" w:type="dxa"/>
          </w:tcPr>
          <w:p w:rsidR="002E15E4" w:rsidRPr="002857EB" w:rsidRDefault="002E15E4" w:rsidP="008836EB">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Society for Worldwide Interbank Financial Telecommunication</w:t>
            </w:r>
          </w:p>
        </w:tc>
      </w:tr>
      <w:tr w:rsidR="002E15E4" w:rsidRPr="002857EB" w:rsidTr="002857EB">
        <w:trPr>
          <w:cantSplit/>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74" w:name="VPN"/>
            <w:r w:rsidRPr="002857EB">
              <w:rPr>
                <w:sz w:val="18"/>
                <w:szCs w:val="18"/>
              </w:rPr>
              <w:lastRenderedPageBreak/>
              <w:t>VPN</w:t>
            </w:r>
            <w:bookmarkEnd w:id="74"/>
          </w:p>
        </w:tc>
        <w:tc>
          <w:tcPr>
            <w:tcW w:w="8082" w:type="dxa"/>
          </w:tcPr>
          <w:p w:rsidR="002E15E4" w:rsidRPr="002857EB" w:rsidRDefault="002E15E4" w:rsidP="008836EB">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2857EB">
              <w:rPr>
                <w:sz w:val="18"/>
                <w:szCs w:val="18"/>
              </w:rPr>
              <w:t>Virtual Private Network</w:t>
            </w:r>
          </w:p>
        </w:tc>
      </w:tr>
      <w:tr w:rsidR="002E15E4" w:rsidRPr="002857EB" w:rsidTr="002857EB">
        <w:trPr>
          <w:cnfStyle w:val="000000100000" w:firstRow="0" w:lastRow="0" w:firstColumn="0" w:lastColumn="0" w:oddVBand="0" w:evenVBand="0" w:oddHBand="1" w:evenHBand="0" w:firstRowFirstColumn="0" w:firstRowLastColumn="0" w:lastRowFirstColumn="0" w:lastRowLastColumn="0"/>
          <w:cantSplit/>
          <w:trHeight w:val="395"/>
        </w:trPr>
        <w:tc>
          <w:tcPr>
            <w:cnfStyle w:val="001000000000" w:firstRow="0" w:lastRow="0" w:firstColumn="1" w:lastColumn="0" w:oddVBand="0" w:evenVBand="0" w:oddHBand="0" w:evenHBand="0" w:firstRowFirstColumn="0" w:firstRowLastColumn="0" w:lastRowFirstColumn="0" w:lastRowLastColumn="0"/>
            <w:tcW w:w="1368" w:type="dxa"/>
          </w:tcPr>
          <w:p w:rsidR="002E15E4" w:rsidRPr="002857EB" w:rsidRDefault="002E15E4" w:rsidP="008836EB">
            <w:pPr>
              <w:pStyle w:val="NoSpacing"/>
              <w:rPr>
                <w:sz w:val="18"/>
                <w:szCs w:val="18"/>
              </w:rPr>
            </w:pPr>
            <w:bookmarkStart w:id="75" w:name="XMLXBRL"/>
            <w:r w:rsidRPr="002857EB">
              <w:rPr>
                <w:sz w:val="18"/>
                <w:szCs w:val="18"/>
              </w:rPr>
              <w:t>XML/XBRL</w:t>
            </w:r>
            <w:bookmarkEnd w:id="75"/>
          </w:p>
        </w:tc>
        <w:tc>
          <w:tcPr>
            <w:tcW w:w="8082" w:type="dxa"/>
          </w:tcPr>
          <w:p w:rsidR="002E15E4" w:rsidRPr="002857EB" w:rsidRDefault="002E15E4" w:rsidP="008836EB">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2857EB">
              <w:rPr>
                <w:sz w:val="18"/>
                <w:szCs w:val="18"/>
              </w:rPr>
              <w:t>eXtensible Markup Language/eXtensible Business Rules Language</w:t>
            </w:r>
          </w:p>
        </w:tc>
      </w:tr>
    </w:tbl>
    <w:p w:rsidR="002857EB" w:rsidRDefault="002857EB" w:rsidP="002857EB"/>
    <w:p w:rsidR="002857EB" w:rsidRDefault="002857EB" w:rsidP="0003798E">
      <w:pPr>
        <w:tabs>
          <w:tab w:val="center" w:pos="4680"/>
        </w:tabs>
      </w:pPr>
      <w:r>
        <w:br w:type="page"/>
      </w:r>
      <w:r w:rsidR="0003798E">
        <w:lastRenderedPageBreak/>
        <w:tab/>
      </w:r>
    </w:p>
    <w:p w:rsidR="002857EB" w:rsidRDefault="002857EB" w:rsidP="002857EB"/>
    <w:p w:rsidR="002E15E4" w:rsidRPr="00444B80" w:rsidRDefault="002E15E4" w:rsidP="00306F7E">
      <w:pPr>
        <w:pStyle w:val="Heading2"/>
      </w:pPr>
      <w:bookmarkStart w:id="76" w:name="_Toc345348404"/>
      <w:r w:rsidRPr="00444B80">
        <w:t>HIMSS World Bank Task Force White Paper Contributors</w:t>
      </w:r>
      <w:bookmarkEnd w:id="76"/>
    </w:p>
    <w:p w:rsidR="002E15E4" w:rsidRPr="002B715C" w:rsidRDefault="002E15E4" w:rsidP="002E15E4">
      <w:pPr>
        <w:spacing w:after="0" w:line="240" w:lineRule="auto"/>
        <w:jc w:val="center"/>
        <w:rPr>
          <w:i/>
          <w:sz w:val="24"/>
          <w:szCs w:val="24"/>
        </w:rPr>
      </w:pPr>
      <w:r w:rsidRPr="005F05E9">
        <w:rPr>
          <w:sz w:val="24"/>
          <w:szCs w:val="24"/>
        </w:rPr>
        <w:t xml:space="preserve">Peter Lang, </w:t>
      </w:r>
      <w:r w:rsidRPr="002B715C">
        <w:rPr>
          <w:i/>
          <w:sz w:val="24"/>
          <w:szCs w:val="24"/>
        </w:rPr>
        <w:t>FY2013 World Bank Task Force Chair</w:t>
      </w:r>
    </w:p>
    <w:p w:rsidR="002E15E4" w:rsidRPr="005F05E9" w:rsidRDefault="002E15E4" w:rsidP="002E15E4">
      <w:pPr>
        <w:spacing w:after="0" w:line="240" w:lineRule="auto"/>
        <w:jc w:val="center"/>
        <w:rPr>
          <w:sz w:val="24"/>
          <w:szCs w:val="24"/>
        </w:rPr>
      </w:pPr>
      <w:r w:rsidRPr="005F05E9">
        <w:rPr>
          <w:sz w:val="24"/>
          <w:szCs w:val="24"/>
        </w:rPr>
        <w:t>Managing Partner/President, Trellis Integration Partners</w:t>
      </w:r>
    </w:p>
    <w:p w:rsidR="002E15E4" w:rsidRDefault="002E15E4" w:rsidP="002E15E4">
      <w:pPr>
        <w:pStyle w:val="TitleBook"/>
        <w:pBdr>
          <w:bottom w:val="single" w:sz="4" w:space="1" w:color="auto"/>
        </w:pBdr>
        <w:spacing w:line="240" w:lineRule="auto"/>
        <w:jc w:val="both"/>
        <w:rPr>
          <w:rFonts w:cs="Tahoma"/>
          <w:sz w:val="28"/>
          <w:szCs w:val="28"/>
        </w:rPr>
      </w:pPr>
    </w:p>
    <w:p w:rsidR="002E15E4" w:rsidRDefault="002E15E4" w:rsidP="002E15E4">
      <w:pPr>
        <w:pStyle w:val="TitleBook"/>
        <w:spacing w:after="0" w:line="240" w:lineRule="auto"/>
        <w:jc w:val="both"/>
        <w:rPr>
          <w:rFonts w:cs="Tahoma"/>
          <w:sz w:val="24"/>
          <w:szCs w:val="24"/>
        </w:rPr>
      </w:pPr>
    </w:p>
    <w:p w:rsidR="002E15E4" w:rsidRDefault="002E15E4" w:rsidP="002E15E4">
      <w:pPr>
        <w:pStyle w:val="TitleBook"/>
        <w:spacing w:after="0" w:line="240" w:lineRule="auto"/>
        <w:jc w:val="both"/>
        <w:rPr>
          <w:rFonts w:cs="Tahoma"/>
          <w:sz w:val="24"/>
          <w:szCs w:val="24"/>
        </w:rPr>
      </w:pPr>
      <w:r w:rsidRPr="005F05E9">
        <w:rPr>
          <w:rFonts w:cs="Tahoma"/>
          <w:sz w:val="24"/>
          <w:szCs w:val="24"/>
        </w:rPr>
        <w:t>Eric Cohen</w:t>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Hamilton Todd, MSM</w:t>
      </w:r>
    </w:p>
    <w:p w:rsidR="002E15E4" w:rsidRDefault="002E15E4" w:rsidP="002E15E4">
      <w:pPr>
        <w:pStyle w:val="TitleBook"/>
        <w:spacing w:after="0" w:line="240" w:lineRule="auto"/>
        <w:jc w:val="both"/>
        <w:rPr>
          <w:rFonts w:cs="Tahoma"/>
          <w:sz w:val="24"/>
          <w:szCs w:val="24"/>
        </w:rPr>
      </w:pPr>
      <w:r>
        <w:rPr>
          <w:rFonts w:cs="Tahoma"/>
          <w:sz w:val="24"/>
          <w:szCs w:val="24"/>
        </w:rPr>
        <w:t>XBRL Global Technical Leader</w:t>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Senior Revenue Analyst, Revenue Cycle</w:t>
      </w:r>
    </w:p>
    <w:p w:rsidR="002E15E4" w:rsidRDefault="002E15E4" w:rsidP="002E15E4">
      <w:pPr>
        <w:pStyle w:val="TitleBook"/>
        <w:spacing w:after="0" w:line="240" w:lineRule="auto"/>
        <w:jc w:val="both"/>
        <w:rPr>
          <w:rFonts w:cs="Tahoma"/>
          <w:sz w:val="24"/>
          <w:szCs w:val="24"/>
        </w:rPr>
      </w:pPr>
      <w:r>
        <w:rPr>
          <w:rFonts w:cs="Tahoma"/>
          <w:sz w:val="24"/>
          <w:szCs w:val="24"/>
        </w:rPr>
        <w:t>PriceWaterhouse Coopers</w:t>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Kaiser Permanente</w:t>
      </w:r>
    </w:p>
    <w:p w:rsidR="002E15E4" w:rsidRDefault="002E15E4" w:rsidP="002E15E4">
      <w:pPr>
        <w:pStyle w:val="TitleBook"/>
        <w:spacing w:after="0" w:line="240" w:lineRule="auto"/>
        <w:jc w:val="both"/>
        <w:rPr>
          <w:rFonts w:cs="Tahoma"/>
          <w:sz w:val="24"/>
          <w:szCs w:val="24"/>
        </w:rPr>
      </w:pPr>
    </w:p>
    <w:p w:rsidR="002E15E4" w:rsidRDefault="002E15E4" w:rsidP="002E15E4">
      <w:pPr>
        <w:pStyle w:val="TitleBook"/>
        <w:spacing w:after="0" w:line="240" w:lineRule="auto"/>
        <w:jc w:val="both"/>
        <w:rPr>
          <w:rFonts w:cs="Tahoma"/>
          <w:sz w:val="24"/>
          <w:szCs w:val="24"/>
        </w:rPr>
      </w:pPr>
      <w:r>
        <w:rPr>
          <w:rFonts w:cs="Tahoma"/>
          <w:sz w:val="24"/>
          <w:szCs w:val="24"/>
        </w:rPr>
        <w:t>Ed Dodds</w:t>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John Casillas</w:t>
      </w:r>
    </w:p>
    <w:p w:rsidR="002E15E4" w:rsidRDefault="002E15E4" w:rsidP="002E15E4">
      <w:pPr>
        <w:pStyle w:val="TitleBook"/>
        <w:spacing w:after="0" w:line="240" w:lineRule="auto"/>
        <w:jc w:val="both"/>
        <w:rPr>
          <w:rFonts w:cs="Tahoma"/>
          <w:sz w:val="24"/>
          <w:szCs w:val="24"/>
        </w:rPr>
      </w:pPr>
      <w:r>
        <w:rPr>
          <w:rFonts w:cs="Tahoma"/>
          <w:sz w:val="24"/>
          <w:szCs w:val="24"/>
        </w:rPr>
        <w:t>Collaboration Strategist</w:t>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Senior Vice President, Business Centered Systems</w:t>
      </w:r>
    </w:p>
    <w:p w:rsidR="002E15E4" w:rsidRDefault="002E15E4" w:rsidP="002E15E4">
      <w:pPr>
        <w:pStyle w:val="TitleBook"/>
        <w:spacing w:after="0" w:line="240" w:lineRule="auto"/>
        <w:jc w:val="both"/>
        <w:rPr>
          <w:rFonts w:cs="Tahoma"/>
          <w:sz w:val="24"/>
          <w:szCs w:val="24"/>
        </w:rPr>
      </w:pPr>
      <w:r>
        <w:rPr>
          <w:rFonts w:cs="Tahoma"/>
          <w:sz w:val="24"/>
          <w:szCs w:val="24"/>
        </w:rPr>
        <w:t>Commergence</w:t>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 xml:space="preserve">HIMSS </w:t>
      </w:r>
    </w:p>
    <w:p w:rsidR="002E15E4" w:rsidRDefault="002E15E4" w:rsidP="002E15E4">
      <w:pPr>
        <w:pStyle w:val="TitleBook"/>
        <w:spacing w:after="0" w:line="240" w:lineRule="auto"/>
        <w:jc w:val="both"/>
        <w:rPr>
          <w:rFonts w:cs="Tahoma"/>
          <w:sz w:val="24"/>
          <w:szCs w:val="24"/>
        </w:rPr>
      </w:pPr>
    </w:p>
    <w:p w:rsidR="002E15E4" w:rsidRDefault="006014F2" w:rsidP="002E15E4">
      <w:pPr>
        <w:pStyle w:val="TitleBook"/>
        <w:spacing w:after="0" w:line="240" w:lineRule="auto"/>
        <w:jc w:val="both"/>
        <w:rPr>
          <w:rFonts w:cs="Tahoma"/>
          <w:sz w:val="24"/>
          <w:szCs w:val="24"/>
        </w:rPr>
      </w:pPr>
      <w:r>
        <w:rPr>
          <w:rFonts w:cs="Tahoma"/>
          <w:sz w:val="24"/>
          <w:szCs w:val="24"/>
        </w:rPr>
        <w:t>VladKaminsky</w:t>
      </w:r>
      <w:r w:rsidR="002E15E4">
        <w:rPr>
          <w:rFonts w:cs="Tahoma"/>
          <w:sz w:val="24"/>
          <w:szCs w:val="24"/>
        </w:rPr>
        <w:tab/>
      </w:r>
      <w:r w:rsidR="002E15E4">
        <w:rPr>
          <w:rFonts w:cs="Tahoma"/>
          <w:sz w:val="24"/>
          <w:szCs w:val="24"/>
        </w:rPr>
        <w:tab/>
      </w:r>
      <w:r w:rsidR="002E15E4">
        <w:rPr>
          <w:rFonts w:cs="Tahoma"/>
          <w:sz w:val="24"/>
          <w:szCs w:val="24"/>
        </w:rPr>
        <w:tab/>
      </w:r>
      <w:r w:rsidR="002E15E4">
        <w:rPr>
          <w:rFonts w:cs="Tahoma"/>
          <w:sz w:val="24"/>
          <w:szCs w:val="24"/>
        </w:rPr>
        <w:tab/>
      </w:r>
      <w:r w:rsidR="002E15E4">
        <w:rPr>
          <w:rFonts w:cs="Tahoma"/>
          <w:sz w:val="24"/>
          <w:szCs w:val="24"/>
        </w:rPr>
        <w:tab/>
      </w:r>
      <w:r w:rsidR="002E15E4">
        <w:rPr>
          <w:rFonts w:cs="Tahoma"/>
          <w:sz w:val="24"/>
          <w:szCs w:val="24"/>
        </w:rPr>
        <w:tab/>
      </w:r>
      <w:r w:rsidR="002E15E4">
        <w:rPr>
          <w:rFonts w:cs="Tahoma"/>
          <w:sz w:val="24"/>
          <w:szCs w:val="24"/>
        </w:rPr>
        <w:tab/>
      </w:r>
      <w:r w:rsidR="002E15E4">
        <w:rPr>
          <w:rFonts w:cs="Tahoma"/>
          <w:sz w:val="24"/>
          <w:szCs w:val="24"/>
        </w:rPr>
        <w:tab/>
      </w:r>
      <w:r w:rsidR="002E15E4">
        <w:rPr>
          <w:rFonts w:cs="Tahoma"/>
          <w:sz w:val="24"/>
          <w:szCs w:val="24"/>
        </w:rPr>
        <w:tab/>
      </w:r>
      <w:r w:rsidR="002E15E4">
        <w:rPr>
          <w:rFonts w:cs="Tahoma"/>
          <w:sz w:val="24"/>
          <w:szCs w:val="24"/>
        </w:rPr>
        <w:tab/>
      </w:r>
      <w:r w:rsidR="002E15E4">
        <w:rPr>
          <w:rFonts w:cs="Tahoma"/>
          <w:sz w:val="24"/>
          <w:szCs w:val="24"/>
        </w:rPr>
        <w:tab/>
      </w:r>
      <w:r w:rsidR="002E15E4">
        <w:rPr>
          <w:rFonts w:cs="Tahoma"/>
          <w:sz w:val="24"/>
          <w:szCs w:val="24"/>
        </w:rPr>
        <w:tab/>
      </w:r>
      <w:r w:rsidR="002E15E4">
        <w:rPr>
          <w:rFonts w:cs="Tahoma"/>
          <w:sz w:val="24"/>
          <w:szCs w:val="24"/>
        </w:rPr>
        <w:tab/>
      </w:r>
      <w:r w:rsidR="002E15E4">
        <w:rPr>
          <w:rFonts w:cs="Tahoma"/>
          <w:sz w:val="24"/>
          <w:szCs w:val="24"/>
        </w:rPr>
        <w:tab/>
        <w:t>James St Clair, CISM, PMP, SSGB</w:t>
      </w:r>
    </w:p>
    <w:p w:rsidR="002E15E4" w:rsidRDefault="002E15E4" w:rsidP="002E15E4">
      <w:pPr>
        <w:pStyle w:val="TitleBook"/>
        <w:spacing w:after="0" w:line="240" w:lineRule="auto"/>
        <w:jc w:val="both"/>
        <w:rPr>
          <w:rFonts w:cs="Tahoma"/>
          <w:sz w:val="24"/>
          <w:szCs w:val="24"/>
        </w:rPr>
      </w:pPr>
      <w:r>
        <w:rPr>
          <w:rFonts w:cs="Tahoma"/>
          <w:sz w:val="24"/>
          <w:szCs w:val="24"/>
        </w:rPr>
        <w:t>Solutions Consultant</w:t>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Senior Director, Interoperability &amp; Standards</w:t>
      </w:r>
    </w:p>
    <w:p w:rsidR="002E15E4" w:rsidRDefault="002E15E4" w:rsidP="002E15E4">
      <w:pPr>
        <w:pStyle w:val="TitleBook"/>
        <w:spacing w:after="0" w:line="240" w:lineRule="auto"/>
        <w:jc w:val="both"/>
        <w:rPr>
          <w:rFonts w:cs="Tahoma"/>
          <w:sz w:val="24"/>
          <w:szCs w:val="24"/>
        </w:rPr>
      </w:pPr>
      <w:r>
        <w:rPr>
          <w:rFonts w:cs="Tahoma"/>
          <w:sz w:val="24"/>
          <w:szCs w:val="24"/>
        </w:rPr>
        <w:t>Revenue Cycle Technology</w:t>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HIMSS</w:t>
      </w:r>
    </w:p>
    <w:p w:rsidR="002E15E4" w:rsidRDefault="002E15E4" w:rsidP="002E15E4">
      <w:pPr>
        <w:pStyle w:val="TitleBook"/>
        <w:spacing w:after="0" w:line="240" w:lineRule="auto"/>
        <w:jc w:val="both"/>
        <w:rPr>
          <w:rFonts w:cs="Tahoma"/>
          <w:sz w:val="24"/>
          <w:szCs w:val="24"/>
        </w:rPr>
      </w:pPr>
      <w:r>
        <w:rPr>
          <w:rFonts w:cs="Tahoma"/>
          <w:sz w:val="24"/>
          <w:szCs w:val="24"/>
        </w:rPr>
        <w:t>Kaiser Permanente</w:t>
      </w:r>
    </w:p>
    <w:p w:rsidR="00D50825" w:rsidRDefault="00D50825">
      <w:pPr>
        <w:rPr>
          <w:rFonts w:ascii="Segoe UI" w:hAnsi="Segoe UI" w:cs="Segoe UI"/>
          <w:sz w:val="24"/>
          <w:szCs w:val="24"/>
        </w:rPr>
      </w:pPr>
    </w:p>
    <w:p w:rsidR="00F1105A" w:rsidRDefault="00306F7E" w:rsidP="00306F7E">
      <w:pPr>
        <w:pStyle w:val="Heading2"/>
      </w:pPr>
      <w:bookmarkStart w:id="77" w:name="_Toc345348405"/>
      <w:r>
        <w:t>Endnotes</w:t>
      </w:r>
      <w:bookmarkEnd w:id="77"/>
    </w:p>
    <w:sectPr w:rsidR="00F1105A" w:rsidSect="002A6471">
      <w:footerReference w:type="default" r:id="rId26"/>
      <w:endnotePr>
        <w:numFmt w:val="decimal"/>
      </w:endnotePr>
      <w:type w:val="continuous"/>
      <w:pgSz w:w="12240" w:h="15840"/>
      <w:pgMar w:top="360" w:right="1440" w:bottom="126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AC" w:rsidRDefault="007417AC">
      <w:r>
        <w:separator/>
      </w:r>
    </w:p>
  </w:endnote>
  <w:endnote w:type="continuationSeparator" w:id="0">
    <w:p w:rsidR="007417AC" w:rsidRDefault="007417AC">
      <w:r>
        <w:continuationSeparator/>
      </w:r>
    </w:p>
  </w:endnote>
  <w:endnote w:id="1">
    <w:p w:rsidR="005406CD" w:rsidRPr="00883D2E" w:rsidRDefault="005406CD">
      <w:pPr>
        <w:pStyle w:val="EndnoteText"/>
        <w:rPr>
          <w:sz w:val="16"/>
        </w:rPr>
      </w:pPr>
      <w:r w:rsidRPr="00883D2E">
        <w:rPr>
          <w:rStyle w:val="EndnoteReference"/>
          <w:sz w:val="16"/>
        </w:rPr>
        <w:endnoteRef/>
      </w:r>
      <w:r w:rsidRPr="00883D2E">
        <w:rPr>
          <w:sz w:val="16"/>
        </w:rPr>
        <w:t xml:space="preserve"> Source: </w:t>
      </w:r>
      <w:hyperlink r:id="rId1" w:anchor="axzz2F8NEYBgw" w:history="1">
        <w:r w:rsidRPr="00DF166C">
          <w:rPr>
            <w:rStyle w:val="Hyperlink"/>
            <w:sz w:val="16"/>
          </w:rPr>
          <w:t>www.investopedia.com/terms/s/straightthroughprocessing.asp#axzz2F8NEYBgw</w:t>
        </w:r>
      </w:hyperlink>
    </w:p>
  </w:endnote>
  <w:endnote w:id="2">
    <w:p w:rsidR="005406CD" w:rsidRDefault="005406CD">
      <w:pPr>
        <w:pStyle w:val="EndnoteText"/>
      </w:pPr>
      <w:r w:rsidRPr="00462A90">
        <w:rPr>
          <w:rStyle w:val="EndnoteReference"/>
          <w:sz w:val="16"/>
        </w:rPr>
        <w:endnoteRef/>
      </w:r>
      <w:r w:rsidRPr="00462A90">
        <w:rPr>
          <w:sz w:val="16"/>
        </w:rPr>
        <w:t xml:space="preserve"> </w:t>
      </w:r>
      <w:hyperlink w:anchor="RTGS" w:history="1">
        <w:r w:rsidRPr="00A23A3D">
          <w:rPr>
            <w:rStyle w:val="Hyperlink"/>
            <w:sz w:val="16"/>
          </w:rPr>
          <w:t>RTGS</w:t>
        </w:r>
      </w:hyperlink>
      <w:r w:rsidRPr="00462A90">
        <w:rPr>
          <w:sz w:val="16"/>
        </w:rPr>
        <w:t xml:space="preserve"> stands for Real Time Gross Settlement.</w:t>
      </w:r>
      <w:r>
        <w:rPr>
          <w:sz w:val="16"/>
        </w:rPr>
        <w:t xml:space="preserve"> </w:t>
      </w:r>
      <w:hyperlink w:anchor="RTGS" w:history="1">
        <w:r w:rsidRPr="00A23A3D">
          <w:rPr>
            <w:rStyle w:val="Hyperlink"/>
            <w:sz w:val="16"/>
          </w:rPr>
          <w:t>RTGS</w:t>
        </w:r>
      </w:hyperlink>
      <w:r w:rsidRPr="00462A90">
        <w:rPr>
          <w:sz w:val="16"/>
        </w:rPr>
        <w:t xml:space="preserve"> networks such as the </w:t>
      </w:r>
      <w:hyperlink w:anchor="FedWire" w:history="1">
        <w:r w:rsidRPr="00C23416">
          <w:rPr>
            <w:rStyle w:val="Hyperlink"/>
            <w:sz w:val="16"/>
          </w:rPr>
          <w:t>FedWire</w:t>
        </w:r>
      </w:hyperlink>
      <w:r w:rsidRPr="00462A90">
        <w:rPr>
          <w:sz w:val="16"/>
        </w:rPr>
        <w:t xml:space="preserve"> system differ from </w:t>
      </w:r>
      <w:hyperlink w:anchor="ACH" w:history="1">
        <w:r w:rsidRPr="00A23A3D">
          <w:rPr>
            <w:rStyle w:val="Hyperlink"/>
            <w:sz w:val="16"/>
          </w:rPr>
          <w:t>ACH</w:t>
        </w:r>
      </w:hyperlink>
      <w:r w:rsidRPr="00462A90">
        <w:rPr>
          <w:sz w:val="16"/>
        </w:rPr>
        <w:t xml:space="preserve"> networks in that they are real time and non-reversible.</w:t>
      </w:r>
      <w:r>
        <w:rPr>
          <w:sz w:val="16"/>
        </w:rPr>
        <w:t xml:space="preserve"> </w:t>
      </w:r>
      <w:r w:rsidRPr="00462A90">
        <w:rPr>
          <w:sz w:val="16"/>
        </w:rPr>
        <w:t>ACH is reversible and not final, plus has a delay minimum of posting of 1 day domestically and &gt;1 day in global scenarios.</w:t>
      </w:r>
      <w:r>
        <w:rPr>
          <w:sz w:val="16"/>
        </w:rPr>
        <w:t xml:space="preserve"> </w:t>
      </w:r>
      <w:r w:rsidRPr="00462A90">
        <w:rPr>
          <w:sz w:val="16"/>
        </w:rPr>
        <w:t xml:space="preserve">Each country has some form of </w:t>
      </w:r>
      <w:hyperlink w:anchor="RTGS" w:history="1">
        <w:r w:rsidRPr="00A23A3D">
          <w:rPr>
            <w:rStyle w:val="Hyperlink"/>
            <w:sz w:val="16"/>
          </w:rPr>
          <w:t>RTGS</w:t>
        </w:r>
      </w:hyperlink>
      <w:r w:rsidRPr="00462A90">
        <w:rPr>
          <w:sz w:val="16"/>
        </w:rPr>
        <w:t xml:space="preserve"> system available as part of their interbank processing and clearing functions.</w:t>
      </w:r>
    </w:p>
  </w:endnote>
  <w:endnote w:id="3">
    <w:p w:rsidR="005406CD" w:rsidRDefault="005406CD" w:rsidP="00B02B53">
      <w:pPr>
        <w:pStyle w:val="EndnoteText"/>
        <w:rPr>
          <w:rFonts w:cstheme="minorHAnsi"/>
          <w:sz w:val="16"/>
          <w:szCs w:val="16"/>
        </w:rPr>
      </w:pPr>
      <w:r w:rsidRPr="00E9139D">
        <w:rPr>
          <w:rStyle w:val="EndnoteReference"/>
          <w:sz w:val="16"/>
          <w:szCs w:val="16"/>
        </w:rPr>
        <w:endnoteRef/>
      </w:r>
      <w:r w:rsidRPr="00E9139D">
        <w:rPr>
          <w:rFonts w:cstheme="minorHAnsi"/>
          <w:sz w:val="16"/>
          <w:szCs w:val="16"/>
        </w:rPr>
        <w:t>HIMSS G7 Advisory Report: The Intersection Between Accountable Care Organizations and the Financial Network of the Future, page 3 (see “Three Key Intersections: (1) Integrator; (2) D</w:t>
      </w:r>
      <w:r>
        <w:rPr>
          <w:rFonts w:cstheme="minorHAnsi"/>
          <w:sz w:val="16"/>
          <w:szCs w:val="16"/>
        </w:rPr>
        <w:t>ata Analysis; (3) Payments Hub)</w:t>
      </w:r>
    </w:p>
    <w:p w:rsidR="005406CD" w:rsidRPr="00E9139D" w:rsidRDefault="005406CD" w:rsidP="00B02B53">
      <w:pPr>
        <w:pStyle w:val="EndnoteText"/>
        <w:rPr>
          <w:rFonts w:cstheme="minorHAnsi"/>
          <w:sz w:val="16"/>
          <w:szCs w:val="16"/>
        </w:rPr>
      </w:pPr>
    </w:p>
  </w:endnote>
  <w:endnote w:id="4">
    <w:p w:rsidR="005406CD" w:rsidRPr="00E9139D" w:rsidRDefault="005406CD" w:rsidP="004F41C0">
      <w:pPr>
        <w:pStyle w:val="ListParagraph"/>
        <w:ind w:left="0"/>
        <w:rPr>
          <w:sz w:val="16"/>
          <w:szCs w:val="16"/>
        </w:rPr>
      </w:pPr>
      <w:r w:rsidRPr="00E9139D">
        <w:rPr>
          <w:rStyle w:val="EndnoteReference"/>
          <w:sz w:val="16"/>
          <w:szCs w:val="16"/>
        </w:rPr>
        <w:endnoteRef/>
      </w:r>
      <w:hyperlink r:id="rId2" w:history="1">
        <w:r w:rsidRPr="00DF166C">
          <w:rPr>
            <w:rStyle w:val="Hyperlink"/>
            <w:sz w:val="16"/>
            <w:szCs w:val="16"/>
          </w:rPr>
          <w:t>http://en.wikipedia.org/wiki/Group_medical_practice_in_the_United_States</w:t>
        </w:r>
      </w:hyperlink>
    </w:p>
  </w:endnote>
  <w:endnote w:id="5">
    <w:p w:rsidR="005406CD" w:rsidRDefault="005406CD" w:rsidP="007B54BD">
      <w:pPr>
        <w:pStyle w:val="EndnoteText"/>
        <w:rPr>
          <w:rFonts w:cstheme="minorHAnsi"/>
          <w:sz w:val="16"/>
          <w:szCs w:val="16"/>
        </w:rPr>
      </w:pPr>
      <w:r w:rsidRPr="00E9139D">
        <w:rPr>
          <w:rStyle w:val="EndnoteReference"/>
          <w:rFonts w:cstheme="minorHAnsi"/>
          <w:sz w:val="16"/>
          <w:szCs w:val="16"/>
        </w:rPr>
        <w:endnoteRef/>
      </w:r>
      <w:r w:rsidRPr="00E9139D">
        <w:rPr>
          <w:rFonts w:cstheme="minorHAnsi"/>
          <w:sz w:val="16"/>
          <w:szCs w:val="16"/>
        </w:rPr>
        <w:t xml:space="preserve"> Interview with Hamilton Todd, senior director of revenue cycle, Mayo Clinic, 2012</w:t>
      </w:r>
    </w:p>
    <w:p w:rsidR="005406CD" w:rsidRPr="00E9139D" w:rsidRDefault="005406CD" w:rsidP="007B54BD">
      <w:pPr>
        <w:pStyle w:val="EndnoteText"/>
        <w:rPr>
          <w:sz w:val="16"/>
          <w:szCs w:val="16"/>
        </w:rPr>
      </w:pPr>
    </w:p>
  </w:endnote>
  <w:endnote w:id="6">
    <w:p w:rsidR="005406CD" w:rsidRDefault="005406CD" w:rsidP="00415652">
      <w:pPr>
        <w:pStyle w:val="EndnoteText"/>
        <w:rPr>
          <w:rFonts w:cstheme="minorHAnsi"/>
          <w:sz w:val="16"/>
          <w:szCs w:val="16"/>
        </w:rPr>
      </w:pPr>
      <w:r w:rsidRPr="00E9139D">
        <w:rPr>
          <w:rStyle w:val="EndnoteReference"/>
          <w:rFonts w:cstheme="minorHAnsi"/>
          <w:sz w:val="16"/>
          <w:szCs w:val="16"/>
        </w:rPr>
        <w:endnoteRef/>
      </w:r>
      <w:hyperlink r:id="rId3" w:history="1">
        <w:r w:rsidRPr="00291D20">
          <w:rPr>
            <w:rStyle w:val="Hyperlink"/>
            <w:rFonts w:cstheme="minorHAnsi"/>
            <w:sz w:val="16"/>
            <w:szCs w:val="16"/>
          </w:rPr>
          <w:t>http://www.himss.org/content/files/20110519_UnveilingTruthBehind_RTA.pdf</w:t>
        </w:r>
      </w:hyperlink>
    </w:p>
    <w:p w:rsidR="005406CD" w:rsidRPr="00E9139D" w:rsidRDefault="005406CD" w:rsidP="00415652">
      <w:pPr>
        <w:pStyle w:val="EndnoteText"/>
        <w:rPr>
          <w:rFonts w:cstheme="minorHAnsi"/>
          <w:sz w:val="16"/>
          <w:szCs w:val="16"/>
        </w:rPr>
      </w:pPr>
    </w:p>
  </w:endnote>
  <w:endnote w:id="7">
    <w:p w:rsidR="005406CD" w:rsidRPr="00306F7E" w:rsidRDefault="005406CD" w:rsidP="00415652">
      <w:pPr>
        <w:tabs>
          <w:tab w:val="left" w:pos="4245"/>
        </w:tabs>
        <w:rPr>
          <w:rFonts w:cstheme="minorHAnsi"/>
          <w:sz w:val="16"/>
          <w:szCs w:val="16"/>
        </w:rPr>
      </w:pPr>
      <w:r w:rsidRPr="00E9139D">
        <w:rPr>
          <w:rStyle w:val="EndnoteReference"/>
          <w:rFonts w:cstheme="minorHAnsi"/>
          <w:sz w:val="16"/>
          <w:szCs w:val="16"/>
        </w:rPr>
        <w:endnoteRef/>
      </w:r>
      <w:r w:rsidRPr="00E9139D">
        <w:rPr>
          <w:rFonts w:cstheme="minorHAnsi"/>
          <w:sz w:val="16"/>
          <w:szCs w:val="16"/>
        </w:rPr>
        <w:t xml:space="preserve"> For example, for the settlement side of transactions, </w:t>
      </w:r>
      <w:hyperlink w:anchor="SWIFT" w:history="1">
        <w:r w:rsidRPr="008940FA">
          <w:rPr>
            <w:rStyle w:val="Hyperlink"/>
            <w:rFonts w:cstheme="minorHAnsi"/>
            <w:sz w:val="16"/>
            <w:szCs w:val="16"/>
          </w:rPr>
          <w:t>SWIFT</w:t>
        </w:r>
      </w:hyperlink>
      <w:r w:rsidRPr="00E9139D">
        <w:rPr>
          <w:rFonts w:cstheme="minorHAnsi"/>
          <w:sz w:val="16"/>
          <w:szCs w:val="16"/>
        </w:rPr>
        <w:t xml:space="preserve"> offers a viable option. </w:t>
      </w:r>
      <w:hyperlink w:anchor="SWIFT" w:history="1">
        <w:r w:rsidRPr="008940FA">
          <w:rPr>
            <w:rStyle w:val="Hyperlink"/>
            <w:rFonts w:cstheme="minorHAnsi"/>
            <w:sz w:val="16"/>
            <w:szCs w:val="16"/>
          </w:rPr>
          <w:t>SWIFT</w:t>
        </w:r>
      </w:hyperlink>
      <w:r w:rsidRPr="00E9139D">
        <w:rPr>
          <w:rFonts w:cstheme="minorHAnsi"/>
          <w:sz w:val="16"/>
          <w:szCs w:val="16"/>
        </w:rPr>
        <w:t xml:space="preserve"> is a non-profit consortium owned by the global banks and already connects to more than 9,000 institutions around the world. Core issues with proprietary exchange technologies could largely disappear without stifling business opportunity and creating bottlenecks for value added services across healthcare and banking alike.</w:t>
      </w:r>
      <w:r>
        <w:rPr>
          <w:rFonts w:cstheme="minorHAnsi"/>
          <w:sz w:val="16"/>
          <w:szCs w:val="16"/>
        </w:rPr>
        <w:t xml:space="preserve"> </w:t>
      </w:r>
      <w:hyperlink w:anchor="SWIFT" w:history="1">
        <w:r w:rsidRPr="008940FA">
          <w:rPr>
            <w:rStyle w:val="Hyperlink"/>
            <w:rFonts w:cstheme="minorHAnsi"/>
            <w:sz w:val="16"/>
            <w:szCs w:val="16"/>
          </w:rPr>
          <w:t>SWIFT</w:t>
        </w:r>
      </w:hyperlink>
      <w:r w:rsidRPr="00E9139D">
        <w:rPr>
          <w:rFonts w:cstheme="minorHAnsi"/>
          <w:sz w:val="16"/>
          <w:szCs w:val="16"/>
        </w:rPr>
        <w:t xml:space="preserve"> is already at the center of the </w:t>
      </w:r>
      <w:hyperlink w:anchor="ISO" w:history="1">
        <w:r w:rsidRPr="00A47144">
          <w:rPr>
            <w:rStyle w:val="Hyperlink"/>
            <w:rFonts w:cstheme="minorHAnsi"/>
            <w:sz w:val="16"/>
            <w:szCs w:val="16"/>
          </w:rPr>
          <w:t>ISO</w:t>
        </w:r>
      </w:hyperlink>
      <w:r w:rsidRPr="00E9139D">
        <w:rPr>
          <w:rFonts w:cstheme="minorHAnsi"/>
          <w:sz w:val="16"/>
          <w:szCs w:val="16"/>
        </w:rPr>
        <w:t xml:space="preserve">20022 </w:t>
      </w:r>
      <w:hyperlink w:anchor="XMLXBRL" w:history="1">
        <w:r w:rsidRPr="002F7E37">
          <w:rPr>
            <w:rStyle w:val="Hyperlink"/>
            <w:rFonts w:cstheme="minorHAnsi"/>
            <w:sz w:val="16"/>
            <w:szCs w:val="16"/>
          </w:rPr>
          <w:t>XML</w:t>
        </w:r>
      </w:hyperlink>
      <w:r w:rsidRPr="00E9139D">
        <w:rPr>
          <w:rFonts w:cstheme="minorHAnsi"/>
          <w:sz w:val="16"/>
          <w:szCs w:val="16"/>
        </w:rPr>
        <w:t xml:space="preserve"> global financial exchange standards and is accepted as the global financial backbone for financial messaging across banks and other </w:t>
      </w:r>
      <w:r>
        <w:rPr>
          <w:rFonts w:cstheme="minorHAnsi"/>
          <w:sz w:val="16"/>
          <w:szCs w:val="16"/>
        </w:rPr>
        <w:t>financial and corporate members</w:t>
      </w:r>
      <w:r w:rsidRPr="00E9139D">
        <w:rPr>
          <w:rFonts w:cstheme="minorHAnsi"/>
          <w:sz w:val="16"/>
          <w:szCs w:val="16"/>
        </w:rPr>
        <w:t xml:space="preserve"> (since opening a corporate adoption model “SCORE” in 2006…SCORE stands for “</w:t>
      </w:r>
      <w:hyperlink w:anchor="SWIFT" w:history="1">
        <w:r w:rsidRPr="008940FA">
          <w:rPr>
            <w:rStyle w:val="Hyperlink"/>
            <w:rFonts w:cstheme="minorHAnsi"/>
            <w:sz w:val="16"/>
            <w:szCs w:val="16"/>
          </w:rPr>
          <w:t>SWIFT</w:t>
        </w:r>
      </w:hyperlink>
      <w:r w:rsidRPr="00E9139D">
        <w:rPr>
          <w:rFonts w:cstheme="minorHAnsi"/>
          <w:sz w:val="16"/>
          <w:szCs w:val="16"/>
        </w:rPr>
        <w:t xml:space="preserve"> for CORPORATEs” and represents a specific </w:t>
      </w:r>
      <w:hyperlink w:anchor="SWIFT" w:history="1">
        <w:r w:rsidRPr="008940FA">
          <w:rPr>
            <w:rStyle w:val="Hyperlink"/>
            <w:rFonts w:cstheme="minorHAnsi"/>
            <w:sz w:val="16"/>
            <w:szCs w:val="16"/>
          </w:rPr>
          <w:t>SWIFT</w:t>
        </w:r>
      </w:hyperlink>
      <w:r w:rsidRPr="00E9139D">
        <w:rPr>
          <w:rFonts w:cstheme="minorHAnsi"/>
          <w:sz w:val="16"/>
          <w:szCs w:val="16"/>
        </w:rPr>
        <w:t xml:space="preserve"> community of connections </w:t>
      </w:r>
      <w:r>
        <w:rPr>
          <w:rFonts w:cstheme="minorHAnsi"/>
          <w:sz w:val="16"/>
          <w:szCs w:val="16"/>
        </w:rPr>
        <w:t>designed for corporate access).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7"/>
      <w:gridCol w:w="8519"/>
    </w:tblGrid>
    <w:tr w:rsidR="005406CD" w:rsidTr="00A26A90">
      <w:tc>
        <w:tcPr>
          <w:tcW w:w="1142" w:type="dxa"/>
        </w:tcPr>
        <w:p w:rsidR="005406CD" w:rsidRDefault="005406CD">
          <w:pPr>
            <w:pStyle w:val="Footer"/>
            <w:jc w:val="right"/>
            <w:rPr>
              <w:b/>
              <w:color w:val="727CA3" w:themeColor="accent1"/>
              <w:sz w:val="32"/>
              <w:szCs w:val="32"/>
            </w:rPr>
          </w:pPr>
          <w:r>
            <w:fldChar w:fldCharType="begin"/>
          </w:r>
          <w:r>
            <w:instrText xml:space="preserve"> PAGE   \* MERGEFORMAT </w:instrText>
          </w:r>
          <w:r>
            <w:fldChar w:fldCharType="separate"/>
          </w:r>
          <w:r w:rsidR="00AA41DA" w:rsidRPr="00AA41DA">
            <w:rPr>
              <w:b/>
              <w:noProof/>
              <w:color w:val="727CA3" w:themeColor="accent1"/>
              <w:sz w:val="32"/>
              <w:szCs w:val="32"/>
            </w:rPr>
            <w:t>14</w:t>
          </w:r>
          <w:r>
            <w:rPr>
              <w:b/>
              <w:noProof/>
              <w:color w:val="727CA3" w:themeColor="accent1"/>
              <w:sz w:val="32"/>
              <w:szCs w:val="32"/>
            </w:rPr>
            <w:fldChar w:fldCharType="end"/>
          </w:r>
        </w:p>
      </w:tc>
      <w:tc>
        <w:tcPr>
          <w:tcW w:w="9874" w:type="dxa"/>
        </w:tcPr>
        <w:p w:rsidR="005406CD" w:rsidRPr="00FA1C8D" w:rsidRDefault="005406CD" w:rsidP="00A26A90">
          <w:pPr>
            <w:pStyle w:val="Footer"/>
            <w:jc w:val="center"/>
          </w:pPr>
          <w:r>
            <w:rPr>
              <w:color w:val="000000"/>
              <w:sz w:val="18"/>
              <w:szCs w:val="18"/>
            </w:rPr>
            <w:t>© 2013</w:t>
          </w:r>
          <w:r w:rsidRPr="00FA1C8D">
            <w:rPr>
              <w:color w:val="000000"/>
              <w:sz w:val="18"/>
              <w:szCs w:val="18"/>
            </w:rPr>
            <w:t xml:space="preserve"> Healthcare Information and Management Systems Society (HIMSS)</w:t>
          </w:r>
        </w:p>
        <w:p w:rsidR="005406CD" w:rsidRDefault="005406CD">
          <w:pPr>
            <w:pStyle w:val="Footer"/>
          </w:pPr>
        </w:p>
      </w:tc>
    </w:tr>
  </w:tbl>
  <w:p w:rsidR="005406CD" w:rsidRDefault="005406CD" w:rsidP="00DA339C">
    <w:pPr>
      <w:pStyle w:val="Footer-ATT"/>
      <w:tabs>
        <w:tab w:val="clear" w:pos="4751"/>
        <w:tab w:val="center" w:pos="432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AC" w:rsidRDefault="007417AC">
      <w:r>
        <w:separator/>
      </w:r>
    </w:p>
  </w:footnote>
  <w:footnote w:type="continuationSeparator" w:id="0">
    <w:p w:rsidR="007417AC" w:rsidRDefault="00741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0B5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6A3F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BA34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2489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0037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CE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E217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CFA2D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4C6A4C"/>
    <w:lvl w:ilvl="0">
      <w:start w:val="1"/>
      <w:numFmt w:val="decimal"/>
      <w:pStyle w:val="ListNumber"/>
      <w:lvlText w:val="%1."/>
      <w:lvlJc w:val="left"/>
      <w:pPr>
        <w:tabs>
          <w:tab w:val="num" w:pos="360"/>
        </w:tabs>
        <w:ind w:left="360" w:hanging="360"/>
      </w:pPr>
    </w:lvl>
  </w:abstractNum>
  <w:abstractNum w:abstractNumId="9">
    <w:nsid w:val="FFFFFF89"/>
    <w:multiLevelType w:val="singleLevel"/>
    <w:tmpl w:val="76D2E5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64BB4"/>
    <w:multiLevelType w:val="hybridMultilevel"/>
    <w:tmpl w:val="D42672AE"/>
    <w:lvl w:ilvl="0" w:tplc="0B7AA292">
      <w:start w:val="1"/>
      <w:numFmt w:val="bullet"/>
      <w:pStyle w:val="BodyTextforallSubHeadingsCharCharChar"/>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03870A27"/>
    <w:multiLevelType w:val="hybridMultilevel"/>
    <w:tmpl w:val="E57E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1531F6"/>
    <w:multiLevelType w:val="hybridMultilevel"/>
    <w:tmpl w:val="DFCE9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5B3F40"/>
    <w:multiLevelType w:val="hybridMultilevel"/>
    <w:tmpl w:val="2AD23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312E26"/>
    <w:multiLevelType w:val="hybridMultilevel"/>
    <w:tmpl w:val="D968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D43E9"/>
    <w:multiLevelType w:val="hybridMultilevel"/>
    <w:tmpl w:val="B9C8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44CA9"/>
    <w:multiLevelType w:val="hybridMultilevel"/>
    <w:tmpl w:val="51300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04CC1"/>
    <w:multiLevelType w:val="hybridMultilevel"/>
    <w:tmpl w:val="83167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9447D9"/>
    <w:multiLevelType w:val="multilevel"/>
    <w:tmpl w:val="6B10DBEC"/>
    <w:lvl w:ilvl="0">
      <w:start w:val="1"/>
      <w:numFmt w:val="lowerLetter"/>
      <w:pStyle w:val="Tableletteredoutline"/>
      <w:lvlText w:val="%1."/>
      <w:lvlJc w:val="left"/>
      <w:pPr>
        <w:tabs>
          <w:tab w:val="num" w:pos="360"/>
        </w:tabs>
        <w:ind w:left="302" w:hanging="302"/>
      </w:pPr>
      <w:rPr>
        <w:rFonts w:hint="default"/>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19">
    <w:nsid w:val="4E3E5D37"/>
    <w:multiLevelType w:val="hybridMultilevel"/>
    <w:tmpl w:val="D95E7C1E"/>
    <w:lvl w:ilvl="0" w:tplc="48C04A92">
      <w:start w:val="1"/>
      <w:numFmt w:val="bullet"/>
      <w:pStyle w:val="TableBullets"/>
      <w:lvlText w:val=""/>
      <w:lvlJc w:val="left"/>
      <w:pPr>
        <w:tabs>
          <w:tab w:val="num" w:pos="648"/>
        </w:tabs>
        <w:ind w:left="648" w:hanging="360"/>
      </w:pPr>
      <w:rPr>
        <w:rFonts w:ascii="Wingdings" w:hAnsi="Wingdings" w:hint="default"/>
        <w:color w:val="000080"/>
        <w:sz w:val="16"/>
      </w:rPr>
    </w:lvl>
    <w:lvl w:ilvl="1" w:tplc="3138930E" w:tentative="1">
      <w:start w:val="1"/>
      <w:numFmt w:val="bullet"/>
      <w:lvlText w:val="o"/>
      <w:lvlJc w:val="left"/>
      <w:pPr>
        <w:tabs>
          <w:tab w:val="num" w:pos="1728"/>
        </w:tabs>
        <w:ind w:left="1728" w:hanging="360"/>
      </w:pPr>
      <w:rPr>
        <w:rFonts w:ascii="Courier New" w:hAnsi="Courier New" w:hint="default"/>
      </w:rPr>
    </w:lvl>
    <w:lvl w:ilvl="2" w:tplc="1ADE2D5A" w:tentative="1">
      <w:start w:val="1"/>
      <w:numFmt w:val="bullet"/>
      <w:lvlText w:val=""/>
      <w:lvlJc w:val="left"/>
      <w:pPr>
        <w:tabs>
          <w:tab w:val="num" w:pos="2448"/>
        </w:tabs>
        <w:ind w:left="2448" w:hanging="360"/>
      </w:pPr>
      <w:rPr>
        <w:rFonts w:ascii="Wingdings" w:hAnsi="Wingdings" w:hint="default"/>
      </w:rPr>
    </w:lvl>
    <w:lvl w:ilvl="3" w:tplc="4F88774C" w:tentative="1">
      <w:start w:val="1"/>
      <w:numFmt w:val="bullet"/>
      <w:lvlText w:val=""/>
      <w:lvlJc w:val="left"/>
      <w:pPr>
        <w:tabs>
          <w:tab w:val="num" w:pos="3168"/>
        </w:tabs>
        <w:ind w:left="3168" w:hanging="360"/>
      </w:pPr>
      <w:rPr>
        <w:rFonts w:ascii="Symbol" w:hAnsi="Symbol" w:hint="default"/>
      </w:rPr>
    </w:lvl>
    <w:lvl w:ilvl="4" w:tplc="02CE176A" w:tentative="1">
      <w:start w:val="1"/>
      <w:numFmt w:val="bullet"/>
      <w:lvlText w:val="o"/>
      <w:lvlJc w:val="left"/>
      <w:pPr>
        <w:tabs>
          <w:tab w:val="num" w:pos="3888"/>
        </w:tabs>
        <w:ind w:left="3888" w:hanging="360"/>
      </w:pPr>
      <w:rPr>
        <w:rFonts w:ascii="Courier New" w:hAnsi="Courier New" w:hint="default"/>
      </w:rPr>
    </w:lvl>
    <w:lvl w:ilvl="5" w:tplc="ABFEDB32" w:tentative="1">
      <w:start w:val="1"/>
      <w:numFmt w:val="bullet"/>
      <w:lvlText w:val=""/>
      <w:lvlJc w:val="left"/>
      <w:pPr>
        <w:tabs>
          <w:tab w:val="num" w:pos="4608"/>
        </w:tabs>
        <w:ind w:left="4608" w:hanging="360"/>
      </w:pPr>
      <w:rPr>
        <w:rFonts w:ascii="Wingdings" w:hAnsi="Wingdings" w:hint="default"/>
      </w:rPr>
    </w:lvl>
    <w:lvl w:ilvl="6" w:tplc="ACAE0420" w:tentative="1">
      <w:start w:val="1"/>
      <w:numFmt w:val="bullet"/>
      <w:lvlText w:val=""/>
      <w:lvlJc w:val="left"/>
      <w:pPr>
        <w:tabs>
          <w:tab w:val="num" w:pos="5328"/>
        </w:tabs>
        <w:ind w:left="5328" w:hanging="360"/>
      </w:pPr>
      <w:rPr>
        <w:rFonts w:ascii="Symbol" w:hAnsi="Symbol" w:hint="default"/>
      </w:rPr>
    </w:lvl>
    <w:lvl w:ilvl="7" w:tplc="99D4CD5C" w:tentative="1">
      <w:start w:val="1"/>
      <w:numFmt w:val="bullet"/>
      <w:lvlText w:val="o"/>
      <w:lvlJc w:val="left"/>
      <w:pPr>
        <w:tabs>
          <w:tab w:val="num" w:pos="6048"/>
        </w:tabs>
        <w:ind w:left="6048" w:hanging="360"/>
      </w:pPr>
      <w:rPr>
        <w:rFonts w:ascii="Courier New" w:hAnsi="Courier New" w:hint="default"/>
      </w:rPr>
    </w:lvl>
    <w:lvl w:ilvl="8" w:tplc="C7FA71C0" w:tentative="1">
      <w:start w:val="1"/>
      <w:numFmt w:val="bullet"/>
      <w:lvlText w:val=""/>
      <w:lvlJc w:val="left"/>
      <w:pPr>
        <w:tabs>
          <w:tab w:val="num" w:pos="6768"/>
        </w:tabs>
        <w:ind w:left="6768" w:hanging="360"/>
      </w:pPr>
      <w:rPr>
        <w:rFonts w:ascii="Wingdings" w:hAnsi="Wingdings" w:hint="default"/>
      </w:rPr>
    </w:lvl>
  </w:abstractNum>
  <w:abstractNum w:abstractNumId="20">
    <w:nsid w:val="519161B3"/>
    <w:multiLevelType w:val="hybridMultilevel"/>
    <w:tmpl w:val="6D8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32BB1"/>
    <w:multiLevelType w:val="hybridMultilevel"/>
    <w:tmpl w:val="ED8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F2694"/>
    <w:multiLevelType w:val="hybridMultilevel"/>
    <w:tmpl w:val="9E827F6A"/>
    <w:lvl w:ilvl="0" w:tplc="04090001">
      <w:start w:val="1"/>
      <w:numFmt w:val="bullet"/>
      <w:lvlText w:val=""/>
      <w:lvlJc w:val="left"/>
      <w:pPr>
        <w:ind w:left="720" w:hanging="360"/>
      </w:pPr>
      <w:rPr>
        <w:rFonts w:ascii="Symbol" w:hAnsi="Symbol" w:hint="default"/>
      </w:rPr>
    </w:lvl>
    <w:lvl w:ilvl="1" w:tplc="979806F6">
      <w:numFmt w:val="bullet"/>
      <w:lvlText w:val="-"/>
      <w:lvlJc w:val="left"/>
      <w:pPr>
        <w:ind w:left="1440" w:hanging="360"/>
      </w:pPr>
      <w:rPr>
        <w:rFonts w:ascii="Cambria" w:eastAsiaTheme="majorEastAsia" w:hAnsi="Cambria"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A4703"/>
    <w:multiLevelType w:val="hybridMultilevel"/>
    <w:tmpl w:val="CE6E0E22"/>
    <w:lvl w:ilvl="0" w:tplc="EE3E78E2">
      <w:start w:val="1"/>
      <w:numFmt w:val="bullet"/>
      <w:pStyle w:val="TableChecklist"/>
      <w:lvlText w:val=""/>
      <w:lvlJc w:val="left"/>
      <w:pPr>
        <w:tabs>
          <w:tab w:val="num" w:pos="720"/>
        </w:tabs>
        <w:ind w:left="720" w:hanging="648"/>
      </w:pPr>
      <w:rPr>
        <w:rFonts w:ascii="Wingdings" w:hAnsi="Wingdings" w:hint="default"/>
        <w:sz w:val="16"/>
      </w:rPr>
    </w:lvl>
    <w:lvl w:ilvl="1" w:tplc="F368721E" w:tentative="1">
      <w:start w:val="1"/>
      <w:numFmt w:val="bullet"/>
      <w:lvlText w:val="o"/>
      <w:lvlJc w:val="left"/>
      <w:pPr>
        <w:tabs>
          <w:tab w:val="num" w:pos="1440"/>
        </w:tabs>
        <w:ind w:left="1440" w:hanging="360"/>
      </w:pPr>
      <w:rPr>
        <w:rFonts w:ascii="Courier New" w:hAnsi="Courier New" w:hint="default"/>
      </w:rPr>
    </w:lvl>
    <w:lvl w:ilvl="2" w:tplc="6BA638F8" w:tentative="1">
      <w:start w:val="1"/>
      <w:numFmt w:val="bullet"/>
      <w:lvlText w:val=""/>
      <w:lvlJc w:val="left"/>
      <w:pPr>
        <w:tabs>
          <w:tab w:val="num" w:pos="2160"/>
        </w:tabs>
        <w:ind w:left="2160" w:hanging="360"/>
      </w:pPr>
      <w:rPr>
        <w:rFonts w:ascii="Wingdings" w:hAnsi="Wingdings" w:hint="default"/>
      </w:rPr>
    </w:lvl>
    <w:lvl w:ilvl="3" w:tplc="D3446B80" w:tentative="1">
      <w:start w:val="1"/>
      <w:numFmt w:val="bullet"/>
      <w:lvlText w:val=""/>
      <w:lvlJc w:val="left"/>
      <w:pPr>
        <w:tabs>
          <w:tab w:val="num" w:pos="2880"/>
        </w:tabs>
        <w:ind w:left="2880" w:hanging="360"/>
      </w:pPr>
      <w:rPr>
        <w:rFonts w:ascii="Symbol" w:hAnsi="Symbol" w:hint="default"/>
      </w:rPr>
    </w:lvl>
    <w:lvl w:ilvl="4" w:tplc="77DEFEA4" w:tentative="1">
      <w:start w:val="1"/>
      <w:numFmt w:val="bullet"/>
      <w:lvlText w:val="o"/>
      <w:lvlJc w:val="left"/>
      <w:pPr>
        <w:tabs>
          <w:tab w:val="num" w:pos="3600"/>
        </w:tabs>
        <w:ind w:left="3600" w:hanging="360"/>
      </w:pPr>
      <w:rPr>
        <w:rFonts w:ascii="Courier New" w:hAnsi="Courier New" w:hint="default"/>
      </w:rPr>
    </w:lvl>
    <w:lvl w:ilvl="5" w:tplc="87B01442" w:tentative="1">
      <w:start w:val="1"/>
      <w:numFmt w:val="bullet"/>
      <w:lvlText w:val=""/>
      <w:lvlJc w:val="left"/>
      <w:pPr>
        <w:tabs>
          <w:tab w:val="num" w:pos="4320"/>
        </w:tabs>
        <w:ind w:left="4320" w:hanging="360"/>
      </w:pPr>
      <w:rPr>
        <w:rFonts w:ascii="Wingdings" w:hAnsi="Wingdings" w:hint="default"/>
      </w:rPr>
    </w:lvl>
    <w:lvl w:ilvl="6" w:tplc="71CE6A0E" w:tentative="1">
      <w:start w:val="1"/>
      <w:numFmt w:val="bullet"/>
      <w:lvlText w:val=""/>
      <w:lvlJc w:val="left"/>
      <w:pPr>
        <w:tabs>
          <w:tab w:val="num" w:pos="5040"/>
        </w:tabs>
        <w:ind w:left="5040" w:hanging="360"/>
      </w:pPr>
      <w:rPr>
        <w:rFonts w:ascii="Symbol" w:hAnsi="Symbol" w:hint="default"/>
      </w:rPr>
    </w:lvl>
    <w:lvl w:ilvl="7" w:tplc="2F589288" w:tentative="1">
      <w:start w:val="1"/>
      <w:numFmt w:val="bullet"/>
      <w:lvlText w:val="o"/>
      <w:lvlJc w:val="left"/>
      <w:pPr>
        <w:tabs>
          <w:tab w:val="num" w:pos="5760"/>
        </w:tabs>
        <w:ind w:left="5760" w:hanging="360"/>
      </w:pPr>
      <w:rPr>
        <w:rFonts w:ascii="Courier New" w:hAnsi="Courier New" w:hint="default"/>
      </w:rPr>
    </w:lvl>
    <w:lvl w:ilvl="8" w:tplc="123E2242" w:tentative="1">
      <w:start w:val="1"/>
      <w:numFmt w:val="bullet"/>
      <w:lvlText w:val=""/>
      <w:lvlJc w:val="left"/>
      <w:pPr>
        <w:tabs>
          <w:tab w:val="num" w:pos="6480"/>
        </w:tabs>
        <w:ind w:left="6480" w:hanging="360"/>
      </w:pPr>
      <w:rPr>
        <w:rFonts w:ascii="Wingdings" w:hAnsi="Wingdings" w:hint="default"/>
      </w:rPr>
    </w:lvl>
  </w:abstractNum>
  <w:abstractNum w:abstractNumId="24">
    <w:nsid w:val="5F1C7776"/>
    <w:multiLevelType w:val="hybridMultilevel"/>
    <w:tmpl w:val="EFAC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EF4981"/>
    <w:multiLevelType w:val="hybridMultilevel"/>
    <w:tmpl w:val="35FE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B4C5F"/>
    <w:multiLevelType w:val="hybridMultilevel"/>
    <w:tmpl w:val="DF762B0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nsid w:val="721C6306"/>
    <w:multiLevelType w:val="hybridMultilevel"/>
    <w:tmpl w:val="F4701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FF6AF1"/>
    <w:multiLevelType w:val="multilevel"/>
    <w:tmpl w:val="730066A2"/>
    <w:lvl w:ilvl="0">
      <w:start w:val="1"/>
      <w:numFmt w:val="decimal"/>
      <w:pStyle w:val="ListTableNumber"/>
      <w:lvlText w:val="%1."/>
      <w:lvlJc w:val="left"/>
      <w:pPr>
        <w:tabs>
          <w:tab w:val="num" w:pos="432"/>
        </w:tabs>
        <w:ind w:left="43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8C31AD7"/>
    <w:multiLevelType w:val="hybridMultilevel"/>
    <w:tmpl w:val="E2161ABE"/>
    <w:lvl w:ilvl="0" w:tplc="B7329160">
      <w:start w:val="1"/>
      <w:numFmt w:val="bullet"/>
      <w:pStyle w:val="ListArrow"/>
      <w:lvlText w:val=""/>
      <w:lvlJc w:val="left"/>
      <w:pPr>
        <w:tabs>
          <w:tab w:val="num" w:pos="936"/>
        </w:tabs>
        <w:ind w:left="936" w:hanging="360"/>
      </w:pPr>
      <w:rPr>
        <w:rFonts w:ascii="Wingdings" w:hAnsi="Wingdings" w:hint="default"/>
        <w:color w:val="000080"/>
        <w:sz w:val="20"/>
      </w:rPr>
    </w:lvl>
    <w:lvl w:ilvl="1" w:tplc="B11AA44A">
      <w:start w:val="1"/>
      <w:numFmt w:val="bullet"/>
      <w:lvlText w:val="o"/>
      <w:lvlJc w:val="left"/>
      <w:pPr>
        <w:tabs>
          <w:tab w:val="num" w:pos="1440"/>
        </w:tabs>
        <w:ind w:left="1440" w:hanging="360"/>
      </w:pPr>
      <w:rPr>
        <w:rFonts w:ascii="Courier New" w:hAnsi="Courier New" w:hint="default"/>
      </w:rPr>
    </w:lvl>
    <w:lvl w:ilvl="2" w:tplc="3AD422A4">
      <w:start w:val="1"/>
      <w:numFmt w:val="bullet"/>
      <w:lvlText w:val=""/>
      <w:lvlJc w:val="left"/>
      <w:pPr>
        <w:tabs>
          <w:tab w:val="num" w:pos="2160"/>
        </w:tabs>
        <w:ind w:left="2160" w:hanging="360"/>
      </w:pPr>
      <w:rPr>
        <w:rFonts w:ascii="Wingdings" w:hAnsi="Wingdings" w:hint="default"/>
      </w:rPr>
    </w:lvl>
    <w:lvl w:ilvl="3" w:tplc="580ACFB4" w:tentative="1">
      <w:start w:val="1"/>
      <w:numFmt w:val="bullet"/>
      <w:lvlText w:val=""/>
      <w:lvlJc w:val="left"/>
      <w:pPr>
        <w:tabs>
          <w:tab w:val="num" w:pos="2880"/>
        </w:tabs>
        <w:ind w:left="2880" w:hanging="360"/>
      </w:pPr>
      <w:rPr>
        <w:rFonts w:ascii="Symbol" w:hAnsi="Symbol" w:hint="default"/>
      </w:rPr>
    </w:lvl>
    <w:lvl w:ilvl="4" w:tplc="D3E0D2F0" w:tentative="1">
      <w:start w:val="1"/>
      <w:numFmt w:val="bullet"/>
      <w:lvlText w:val="o"/>
      <w:lvlJc w:val="left"/>
      <w:pPr>
        <w:tabs>
          <w:tab w:val="num" w:pos="3600"/>
        </w:tabs>
        <w:ind w:left="3600" w:hanging="360"/>
      </w:pPr>
      <w:rPr>
        <w:rFonts w:ascii="Courier New" w:hAnsi="Courier New" w:hint="default"/>
      </w:rPr>
    </w:lvl>
    <w:lvl w:ilvl="5" w:tplc="C2B05A4A" w:tentative="1">
      <w:start w:val="1"/>
      <w:numFmt w:val="bullet"/>
      <w:lvlText w:val=""/>
      <w:lvlJc w:val="left"/>
      <w:pPr>
        <w:tabs>
          <w:tab w:val="num" w:pos="4320"/>
        </w:tabs>
        <w:ind w:left="4320" w:hanging="360"/>
      </w:pPr>
      <w:rPr>
        <w:rFonts w:ascii="Wingdings" w:hAnsi="Wingdings" w:hint="default"/>
      </w:rPr>
    </w:lvl>
    <w:lvl w:ilvl="6" w:tplc="5444479E" w:tentative="1">
      <w:start w:val="1"/>
      <w:numFmt w:val="bullet"/>
      <w:lvlText w:val=""/>
      <w:lvlJc w:val="left"/>
      <w:pPr>
        <w:tabs>
          <w:tab w:val="num" w:pos="5040"/>
        </w:tabs>
        <w:ind w:left="5040" w:hanging="360"/>
      </w:pPr>
      <w:rPr>
        <w:rFonts w:ascii="Symbol" w:hAnsi="Symbol" w:hint="default"/>
      </w:rPr>
    </w:lvl>
    <w:lvl w:ilvl="7" w:tplc="FFD2A48E" w:tentative="1">
      <w:start w:val="1"/>
      <w:numFmt w:val="bullet"/>
      <w:lvlText w:val="o"/>
      <w:lvlJc w:val="left"/>
      <w:pPr>
        <w:tabs>
          <w:tab w:val="num" w:pos="5760"/>
        </w:tabs>
        <w:ind w:left="5760" w:hanging="360"/>
      </w:pPr>
      <w:rPr>
        <w:rFonts w:ascii="Courier New" w:hAnsi="Courier New" w:hint="default"/>
      </w:rPr>
    </w:lvl>
    <w:lvl w:ilvl="8" w:tplc="669626C2" w:tentative="1">
      <w:start w:val="1"/>
      <w:numFmt w:val="bullet"/>
      <w:lvlText w:val=""/>
      <w:lvlJc w:val="left"/>
      <w:pPr>
        <w:tabs>
          <w:tab w:val="num" w:pos="6480"/>
        </w:tabs>
        <w:ind w:left="6480" w:hanging="360"/>
      </w:pPr>
      <w:rPr>
        <w:rFonts w:ascii="Wingdings" w:hAnsi="Wingdings" w:hint="default"/>
      </w:rPr>
    </w:lvl>
  </w:abstractNum>
  <w:abstractNum w:abstractNumId="30">
    <w:nsid w:val="7F1774DF"/>
    <w:multiLevelType w:val="hybridMultilevel"/>
    <w:tmpl w:val="D8D2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3"/>
  </w:num>
  <w:num w:numId="4">
    <w:abstractNumId w:val="23"/>
  </w:num>
  <w:num w:numId="5">
    <w:abstractNumId w:val="19"/>
  </w:num>
  <w:num w:numId="6">
    <w:abstractNumId w:val="18"/>
  </w:num>
  <w:num w:numId="7">
    <w:abstractNumId w:val="10"/>
  </w:num>
  <w:num w:numId="8">
    <w:abstractNumId w:val="26"/>
  </w:num>
  <w:num w:numId="9">
    <w:abstractNumId w:val="11"/>
  </w:num>
  <w:num w:numId="10">
    <w:abstractNumId w:val="17"/>
  </w:num>
  <w:num w:numId="11">
    <w:abstractNumId w:val="13"/>
  </w:num>
  <w:num w:numId="12">
    <w:abstractNumId w:val="16"/>
  </w:num>
  <w:num w:numId="13">
    <w:abstractNumId w:val="25"/>
  </w:num>
  <w:num w:numId="14">
    <w:abstractNumId w:val="20"/>
  </w:num>
  <w:num w:numId="15">
    <w:abstractNumId w:val="15"/>
  </w:num>
  <w:num w:numId="16">
    <w:abstractNumId w:val="24"/>
  </w:num>
  <w:num w:numId="17">
    <w:abstractNumId w:val="14"/>
  </w:num>
  <w:num w:numId="18">
    <w:abstractNumId w:val="21"/>
  </w:num>
  <w:num w:numId="19">
    <w:abstractNumId w:val="30"/>
  </w:num>
  <w:num w:numId="20">
    <w:abstractNumId w:val="22"/>
  </w:num>
  <w:num w:numId="21">
    <w:abstractNumId w:val="27"/>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EC"/>
    <w:rsid w:val="000020BE"/>
    <w:rsid w:val="000047A5"/>
    <w:rsid w:val="00004C26"/>
    <w:rsid w:val="00005DE0"/>
    <w:rsid w:val="00006306"/>
    <w:rsid w:val="000102CA"/>
    <w:rsid w:val="000131A2"/>
    <w:rsid w:val="00013CFD"/>
    <w:rsid w:val="0001482A"/>
    <w:rsid w:val="00015EE4"/>
    <w:rsid w:val="000169E6"/>
    <w:rsid w:val="000224AB"/>
    <w:rsid w:val="000234B3"/>
    <w:rsid w:val="000261D6"/>
    <w:rsid w:val="00027C58"/>
    <w:rsid w:val="000302F2"/>
    <w:rsid w:val="000304C8"/>
    <w:rsid w:val="00031E52"/>
    <w:rsid w:val="00032BB7"/>
    <w:rsid w:val="00033B58"/>
    <w:rsid w:val="00033DF5"/>
    <w:rsid w:val="00034363"/>
    <w:rsid w:val="00034A3C"/>
    <w:rsid w:val="00034D42"/>
    <w:rsid w:val="0003798E"/>
    <w:rsid w:val="00042EA6"/>
    <w:rsid w:val="00046538"/>
    <w:rsid w:val="000469A1"/>
    <w:rsid w:val="00051A23"/>
    <w:rsid w:val="00052B5A"/>
    <w:rsid w:val="00054F48"/>
    <w:rsid w:val="0005616B"/>
    <w:rsid w:val="000602B1"/>
    <w:rsid w:val="00064345"/>
    <w:rsid w:val="00065377"/>
    <w:rsid w:val="00070F88"/>
    <w:rsid w:val="000736C8"/>
    <w:rsid w:val="00076AE9"/>
    <w:rsid w:val="00076B75"/>
    <w:rsid w:val="00076F8B"/>
    <w:rsid w:val="000772A6"/>
    <w:rsid w:val="000806C9"/>
    <w:rsid w:val="00082342"/>
    <w:rsid w:val="000837EE"/>
    <w:rsid w:val="000860FC"/>
    <w:rsid w:val="00087288"/>
    <w:rsid w:val="00090972"/>
    <w:rsid w:val="00090B63"/>
    <w:rsid w:val="000910F9"/>
    <w:rsid w:val="0009368B"/>
    <w:rsid w:val="00093B8C"/>
    <w:rsid w:val="000A07D9"/>
    <w:rsid w:val="000A540D"/>
    <w:rsid w:val="000A768B"/>
    <w:rsid w:val="000B3957"/>
    <w:rsid w:val="000B3E1F"/>
    <w:rsid w:val="000B502E"/>
    <w:rsid w:val="000C00E3"/>
    <w:rsid w:val="000C0720"/>
    <w:rsid w:val="000C1B59"/>
    <w:rsid w:val="000C30EC"/>
    <w:rsid w:val="000C330A"/>
    <w:rsid w:val="000C5A8E"/>
    <w:rsid w:val="000C6766"/>
    <w:rsid w:val="000D295F"/>
    <w:rsid w:val="000E0AC3"/>
    <w:rsid w:val="000E0E5A"/>
    <w:rsid w:val="000E1A02"/>
    <w:rsid w:val="000E2710"/>
    <w:rsid w:val="000E2B7D"/>
    <w:rsid w:val="000E3054"/>
    <w:rsid w:val="000E4ECB"/>
    <w:rsid w:val="000E50F7"/>
    <w:rsid w:val="000E5934"/>
    <w:rsid w:val="000E6616"/>
    <w:rsid w:val="000F0FB3"/>
    <w:rsid w:val="000F18CA"/>
    <w:rsid w:val="000F27CA"/>
    <w:rsid w:val="000F36BA"/>
    <w:rsid w:val="000F4DDF"/>
    <w:rsid w:val="000F5BED"/>
    <w:rsid w:val="000F6AD1"/>
    <w:rsid w:val="001005FB"/>
    <w:rsid w:val="00100851"/>
    <w:rsid w:val="00104430"/>
    <w:rsid w:val="001054C6"/>
    <w:rsid w:val="001114E8"/>
    <w:rsid w:val="00111F91"/>
    <w:rsid w:val="00113617"/>
    <w:rsid w:val="00115295"/>
    <w:rsid w:val="00120A8F"/>
    <w:rsid w:val="00121C5D"/>
    <w:rsid w:val="001220D1"/>
    <w:rsid w:val="001224D4"/>
    <w:rsid w:val="00122AB9"/>
    <w:rsid w:val="00122BF7"/>
    <w:rsid w:val="00127982"/>
    <w:rsid w:val="0013142F"/>
    <w:rsid w:val="00132B6A"/>
    <w:rsid w:val="001353A6"/>
    <w:rsid w:val="0013565D"/>
    <w:rsid w:val="00137E4E"/>
    <w:rsid w:val="00140436"/>
    <w:rsid w:val="00142E8B"/>
    <w:rsid w:val="00143623"/>
    <w:rsid w:val="00146EAF"/>
    <w:rsid w:val="0015368C"/>
    <w:rsid w:val="00155038"/>
    <w:rsid w:val="00155AE9"/>
    <w:rsid w:val="0015664A"/>
    <w:rsid w:val="00156E06"/>
    <w:rsid w:val="001602E4"/>
    <w:rsid w:val="00161D0F"/>
    <w:rsid w:val="00162CD5"/>
    <w:rsid w:val="0016367A"/>
    <w:rsid w:val="001640BC"/>
    <w:rsid w:val="00165240"/>
    <w:rsid w:val="00165405"/>
    <w:rsid w:val="001669B6"/>
    <w:rsid w:val="001712B1"/>
    <w:rsid w:val="001715CD"/>
    <w:rsid w:val="001736DA"/>
    <w:rsid w:val="00173A0E"/>
    <w:rsid w:val="0017570A"/>
    <w:rsid w:val="00175921"/>
    <w:rsid w:val="00182B55"/>
    <w:rsid w:val="00186F80"/>
    <w:rsid w:val="00191095"/>
    <w:rsid w:val="00193057"/>
    <w:rsid w:val="001947B0"/>
    <w:rsid w:val="00194E6C"/>
    <w:rsid w:val="00194F80"/>
    <w:rsid w:val="00195539"/>
    <w:rsid w:val="00196A98"/>
    <w:rsid w:val="00197FA7"/>
    <w:rsid w:val="001A185C"/>
    <w:rsid w:val="001A2D7A"/>
    <w:rsid w:val="001A42B6"/>
    <w:rsid w:val="001A6776"/>
    <w:rsid w:val="001A7B77"/>
    <w:rsid w:val="001B21B1"/>
    <w:rsid w:val="001B221A"/>
    <w:rsid w:val="001B3F77"/>
    <w:rsid w:val="001C0070"/>
    <w:rsid w:val="001C0784"/>
    <w:rsid w:val="001C0BA0"/>
    <w:rsid w:val="001C240B"/>
    <w:rsid w:val="001D05B6"/>
    <w:rsid w:val="001D17FF"/>
    <w:rsid w:val="001D6D54"/>
    <w:rsid w:val="001D71BC"/>
    <w:rsid w:val="001D77EB"/>
    <w:rsid w:val="001E1AE0"/>
    <w:rsid w:val="001E6668"/>
    <w:rsid w:val="001E6F66"/>
    <w:rsid w:val="001E7080"/>
    <w:rsid w:val="001F21FF"/>
    <w:rsid w:val="001F224B"/>
    <w:rsid w:val="001F2A44"/>
    <w:rsid w:val="001F5D24"/>
    <w:rsid w:val="00200567"/>
    <w:rsid w:val="00202357"/>
    <w:rsid w:val="002025B9"/>
    <w:rsid w:val="00206222"/>
    <w:rsid w:val="002073CC"/>
    <w:rsid w:val="0021218D"/>
    <w:rsid w:val="00212D00"/>
    <w:rsid w:val="00213FF9"/>
    <w:rsid w:val="002154B5"/>
    <w:rsid w:val="00216661"/>
    <w:rsid w:val="00225529"/>
    <w:rsid w:val="002266EC"/>
    <w:rsid w:val="002311B9"/>
    <w:rsid w:val="00231374"/>
    <w:rsid w:val="0023209C"/>
    <w:rsid w:val="002328CC"/>
    <w:rsid w:val="00241A2B"/>
    <w:rsid w:val="00245DF3"/>
    <w:rsid w:val="00246410"/>
    <w:rsid w:val="00247D9D"/>
    <w:rsid w:val="0025089B"/>
    <w:rsid w:val="00250A86"/>
    <w:rsid w:val="00250BA2"/>
    <w:rsid w:val="00256302"/>
    <w:rsid w:val="00256924"/>
    <w:rsid w:val="00261443"/>
    <w:rsid w:val="00261D93"/>
    <w:rsid w:val="002647DD"/>
    <w:rsid w:val="002656BB"/>
    <w:rsid w:val="00265ACA"/>
    <w:rsid w:val="0026629A"/>
    <w:rsid w:val="0026679A"/>
    <w:rsid w:val="002704FF"/>
    <w:rsid w:val="002716F2"/>
    <w:rsid w:val="00273B13"/>
    <w:rsid w:val="00273CA4"/>
    <w:rsid w:val="002810E9"/>
    <w:rsid w:val="00281F82"/>
    <w:rsid w:val="002838EC"/>
    <w:rsid w:val="002857EB"/>
    <w:rsid w:val="00286B1F"/>
    <w:rsid w:val="0029338A"/>
    <w:rsid w:val="0029408B"/>
    <w:rsid w:val="0029430A"/>
    <w:rsid w:val="002952B5"/>
    <w:rsid w:val="002A0274"/>
    <w:rsid w:val="002A3158"/>
    <w:rsid w:val="002A6471"/>
    <w:rsid w:val="002A68B2"/>
    <w:rsid w:val="002A69B3"/>
    <w:rsid w:val="002A74FB"/>
    <w:rsid w:val="002A75A9"/>
    <w:rsid w:val="002A7AD4"/>
    <w:rsid w:val="002B23FD"/>
    <w:rsid w:val="002B338F"/>
    <w:rsid w:val="002B5188"/>
    <w:rsid w:val="002B52A7"/>
    <w:rsid w:val="002B642C"/>
    <w:rsid w:val="002B715C"/>
    <w:rsid w:val="002C138C"/>
    <w:rsid w:val="002C4D23"/>
    <w:rsid w:val="002D1F2B"/>
    <w:rsid w:val="002D3B32"/>
    <w:rsid w:val="002D6246"/>
    <w:rsid w:val="002E109C"/>
    <w:rsid w:val="002E15E4"/>
    <w:rsid w:val="002E2F72"/>
    <w:rsid w:val="002E3557"/>
    <w:rsid w:val="002E443C"/>
    <w:rsid w:val="002E55BF"/>
    <w:rsid w:val="002E5DBB"/>
    <w:rsid w:val="002E6A2C"/>
    <w:rsid w:val="002E74D4"/>
    <w:rsid w:val="002E7C69"/>
    <w:rsid w:val="002F0443"/>
    <w:rsid w:val="002F0457"/>
    <w:rsid w:val="002F2FEB"/>
    <w:rsid w:val="002F67E4"/>
    <w:rsid w:val="002F7E37"/>
    <w:rsid w:val="00300251"/>
    <w:rsid w:val="00300812"/>
    <w:rsid w:val="003009EC"/>
    <w:rsid w:val="00300D9A"/>
    <w:rsid w:val="00300F11"/>
    <w:rsid w:val="003010E9"/>
    <w:rsid w:val="00301F4C"/>
    <w:rsid w:val="003024DE"/>
    <w:rsid w:val="00302A11"/>
    <w:rsid w:val="00303347"/>
    <w:rsid w:val="00303B16"/>
    <w:rsid w:val="00306F7E"/>
    <w:rsid w:val="00306FCB"/>
    <w:rsid w:val="003115B3"/>
    <w:rsid w:val="0031459D"/>
    <w:rsid w:val="00315D7B"/>
    <w:rsid w:val="00316E54"/>
    <w:rsid w:val="00317F17"/>
    <w:rsid w:val="00320B82"/>
    <w:rsid w:val="0032160B"/>
    <w:rsid w:val="003246C2"/>
    <w:rsid w:val="00325D5B"/>
    <w:rsid w:val="00327EE0"/>
    <w:rsid w:val="00330085"/>
    <w:rsid w:val="00330390"/>
    <w:rsid w:val="00330A72"/>
    <w:rsid w:val="003310CA"/>
    <w:rsid w:val="00333CD8"/>
    <w:rsid w:val="0033416C"/>
    <w:rsid w:val="00334C6C"/>
    <w:rsid w:val="00335F01"/>
    <w:rsid w:val="00343ACC"/>
    <w:rsid w:val="003440AD"/>
    <w:rsid w:val="00347204"/>
    <w:rsid w:val="003512B1"/>
    <w:rsid w:val="00351325"/>
    <w:rsid w:val="00355CE0"/>
    <w:rsid w:val="00355EC3"/>
    <w:rsid w:val="00356161"/>
    <w:rsid w:val="003566A4"/>
    <w:rsid w:val="003569F2"/>
    <w:rsid w:val="003573F0"/>
    <w:rsid w:val="00360364"/>
    <w:rsid w:val="00362173"/>
    <w:rsid w:val="00362BB8"/>
    <w:rsid w:val="0036524F"/>
    <w:rsid w:val="00366DFA"/>
    <w:rsid w:val="0037597B"/>
    <w:rsid w:val="003768D0"/>
    <w:rsid w:val="003774B8"/>
    <w:rsid w:val="0037751D"/>
    <w:rsid w:val="00383DAC"/>
    <w:rsid w:val="003849F3"/>
    <w:rsid w:val="00386956"/>
    <w:rsid w:val="003910F8"/>
    <w:rsid w:val="00391D2D"/>
    <w:rsid w:val="00391F31"/>
    <w:rsid w:val="00392032"/>
    <w:rsid w:val="00395524"/>
    <w:rsid w:val="003A06E9"/>
    <w:rsid w:val="003A33DA"/>
    <w:rsid w:val="003A41AE"/>
    <w:rsid w:val="003A4841"/>
    <w:rsid w:val="003A4CDF"/>
    <w:rsid w:val="003A5954"/>
    <w:rsid w:val="003B3FA4"/>
    <w:rsid w:val="003B4BE3"/>
    <w:rsid w:val="003B5434"/>
    <w:rsid w:val="003B7860"/>
    <w:rsid w:val="003C0451"/>
    <w:rsid w:val="003C39C1"/>
    <w:rsid w:val="003C41D0"/>
    <w:rsid w:val="003C6724"/>
    <w:rsid w:val="003D1307"/>
    <w:rsid w:val="003D24B9"/>
    <w:rsid w:val="003D3325"/>
    <w:rsid w:val="003D6BF9"/>
    <w:rsid w:val="003D73B7"/>
    <w:rsid w:val="003E06BC"/>
    <w:rsid w:val="003E33D1"/>
    <w:rsid w:val="003E4EEA"/>
    <w:rsid w:val="003F015C"/>
    <w:rsid w:val="003F1D0D"/>
    <w:rsid w:val="003F2281"/>
    <w:rsid w:val="003F27B0"/>
    <w:rsid w:val="003F29D4"/>
    <w:rsid w:val="003F33A7"/>
    <w:rsid w:val="003F3434"/>
    <w:rsid w:val="003F36E1"/>
    <w:rsid w:val="003F47C2"/>
    <w:rsid w:val="003F6141"/>
    <w:rsid w:val="003F74EE"/>
    <w:rsid w:val="00400D0F"/>
    <w:rsid w:val="00402BC0"/>
    <w:rsid w:val="004034C4"/>
    <w:rsid w:val="0040404F"/>
    <w:rsid w:val="004060DC"/>
    <w:rsid w:val="004067FD"/>
    <w:rsid w:val="00407F8C"/>
    <w:rsid w:val="00411200"/>
    <w:rsid w:val="00411F31"/>
    <w:rsid w:val="00415652"/>
    <w:rsid w:val="00417069"/>
    <w:rsid w:val="00423E93"/>
    <w:rsid w:val="00424A11"/>
    <w:rsid w:val="00425D1C"/>
    <w:rsid w:val="00425E01"/>
    <w:rsid w:val="00431262"/>
    <w:rsid w:val="004318ED"/>
    <w:rsid w:val="00431F8B"/>
    <w:rsid w:val="00433CA3"/>
    <w:rsid w:val="004351A3"/>
    <w:rsid w:val="004358BA"/>
    <w:rsid w:val="00440B77"/>
    <w:rsid w:val="00440C27"/>
    <w:rsid w:val="004415C1"/>
    <w:rsid w:val="00443164"/>
    <w:rsid w:val="00444834"/>
    <w:rsid w:val="00444ADA"/>
    <w:rsid w:val="00444B80"/>
    <w:rsid w:val="00446D10"/>
    <w:rsid w:val="00447FE9"/>
    <w:rsid w:val="004501D6"/>
    <w:rsid w:val="004502CB"/>
    <w:rsid w:val="004511C1"/>
    <w:rsid w:val="0045133D"/>
    <w:rsid w:val="00452E58"/>
    <w:rsid w:val="00454176"/>
    <w:rsid w:val="0045446F"/>
    <w:rsid w:val="00454754"/>
    <w:rsid w:val="0046043F"/>
    <w:rsid w:val="00462A90"/>
    <w:rsid w:val="004647FB"/>
    <w:rsid w:val="004654C3"/>
    <w:rsid w:val="004674E5"/>
    <w:rsid w:val="00470418"/>
    <w:rsid w:val="00470B33"/>
    <w:rsid w:val="004717B3"/>
    <w:rsid w:val="00471FE6"/>
    <w:rsid w:val="004736C5"/>
    <w:rsid w:val="004840D0"/>
    <w:rsid w:val="0048449D"/>
    <w:rsid w:val="00486501"/>
    <w:rsid w:val="00491EEB"/>
    <w:rsid w:val="00492C31"/>
    <w:rsid w:val="00495C26"/>
    <w:rsid w:val="004969EE"/>
    <w:rsid w:val="004A118D"/>
    <w:rsid w:val="004A45D3"/>
    <w:rsid w:val="004A46D3"/>
    <w:rsid w:val="004B0A8F"/>
    <w:rsid w:val="004B0FCE"/>
    <w:rsid w:val="004B128F"/>
    <w:rsid w:val="004B2585"/>
    <w:rsid w:val="004B623D"/>
    <w:rsid w:val="004B6E1C"/>
    <w:rsid w:val="004B7358"/>
    <w:rsid w:val="004C1A2E"/>
    <w:rsid w:val="004C3247"/>
    <w:rsid w:val="004C341D"/>
    <w:rsid w:val="004C3B8C"/>
    <w:rsid w:val="004C3E5A"/>
    <w:rsid w:val="004C420E"/>
    <w:rsid w:val="004C4D8D"/>
    <w:rsid w:val="004C55B5"/>
    <w:rsid w:val="004C58BE"/>
    <w:rsid w:val="004C5E17"/>
    <w:rsid w:val="004D0102"/>
    <w:rsid w:val="004D0216"/>
    <w:rsid w:val="004D2229"/>
    <w:rsid w:val="004D2273"/>
    <w:rsid w:val="004D3787"/>
    <w:rsid w:val="004D3C34"/>
    <w:rsid w:val="004D460E"/>
    <w:rsid w:val="004D4BB1"/>
    <w:rsid w:val="004D5400"/>
    <w:rsid w:val="004D654D"/>
    <w:rsid w:val="004E1283"/>
    <w:rsid w:val="004E1489"/>
    <w:rsid w:val="004E18CB"/>
    <w:rsid w:val="004E3BD8"/>
    <w:rsid w:val="004E4280"/>
    <w:rsid w:val="004F0A43"/>
    <w:rsid w:val="004F41C0"/>
    <w:rsid w:val="004F5245"/>
    <w:rsid w:val="004F5BED"/>
    <w:rsid w:val="005013B8"/>
    <w:rsid w:val="005016DA"/>
    <w:rsid w:val="00505263"/>
    <w:rsid w:val="00505DD7"/>
    <w:rsid w:val="00506C93"/>
    <w:rsid w:val="00507965"/>
    <w:rsid w:val="00513A64"/>
    <w:rsid w:val="00514A45"/>
    <w:rsid w:val="00514F94"/>
    <w:rsid w:val="00520411"/>
    <w:rsid w:val="00520598"/>
    <w:rsid w:val="005209E3"/>
    <w:rsid w:val="00520A99"/>
    <w:rsid w:val="00521089"/>
    <w:rsid w:val="0052319E"/>
    <w:rsid w:val="005263B4"/>
    <w:rsid w:val="0052662F"/>
    <w:rsid w:val="00526A11"/>
    <w:rsid w:val="005272A4"/>
    <w:rsid w:val="005322FE"/>
    <w:rsid w:val="00535FA3"/>
    <w:rsid w:val="00536476"/>
    <w:rsid w:val="00536651"/>
    <w:rsid w:val="005401E2"/>
    <w:rsid w:val="005406CD"/>
    <w:rsid w:val="0054285B"/>
    <w:rsid w:val="005448E2"/>
    <w:rsid w:val="00546784"/>
    <w:rsid w:val="005501A0"/>
    <w:rsid w:val="00551714"/>
    <w:rsid w:val="005531D8"/>
    <w:rsid w:val="00554E3F"/>
    <w:rsid w:val="0056035D"/>
    <w:rsid w:val="00560503"/>
    <w:rsid w:val="00561B10"/>
    <w:rsid w:val="005620CA"/>
    <w:rsid w:val="00564564"/>
    <w:rsid w:val="00565187"/>
    <w:rsid w:val="005700A4"/>
    <w:rsid w:val="00573BFD"/>
    <w:rsid w:val="0057473A"/>
    <w:rsid w:val="00574EA8"/>
    <w:rsid w:val="00576FF3"/>
    <w:rsid w:val="00580A5A"/>
    <w:rsid w:val="00584FC7"/>
    <w:rsid w:val="005926F5"/>
    <w:rsid w:val="00592C20"/>
    <w:rsid w:val="005A01DC"/>
    <w:rsid w:val="005A2C08"/>
    <w:rsid w:val="005A3C43"/>
    <w:rsid w:val="005A3F99"/>
    <w:rsid w:val="005A43D3"/>
    <w:rsid w:val="005A7D92"/>
    <w:rsid w:val="005B1578"/>
    <w:rsid w:val="005B4A3E"/>
    <w:rsid w:val="005B524B"/>
    <w:rsid w:val="005B5492"/>
    <w:rsid w:val="005B5747"/>
    <w:rsid w:val="005B5A7B"/>
    <w:rsid w:val="005B6D7B"/>
    <w:rsid w:val="005B7155"/>
    <w:rsid w:val="005C07D8"/>
    <w:rsid w:val="005C0A69"/>
    <w:rsid w:val="005C43D4"/>
    <w:rsid w:val="005C6893"/>
    <w:rsid w:val="005C77D3"/>
    <w:rsid w:val="005D014D"/>
    <w:rsid w:val="005D078E"/>
    <w:rsid w:val="005D24B3"/>
    <w:rsid w:val="005D24C1"/>
    <w:rsid w:val="005D2B25"/>
    <w:rsid w:val="005D2E84"/>
    <w:rsid w:val="005D3B15"/>
    <w:rsid w:val="005D498A"/>
    <w:rsid w:val="005D78BA"/>
    <w:rsid w:val="005E2D0F"/>
    <w:rsid w:val="005E553C"/>
    <w:rsid w:val="005E5621"/>
    <w:rsid w:val="005E58FD"/>
    <w:rsid w:val="005E7CCB"/>
    <w:rsid w:val="005F05E9"/>
    <w:rsid w:val="005F14B4"/>
    <w:rsid w:val="005F1CDE"/>
    <w:rsid w:val="006002E6"/>
    <w:rsid w:val="00600F1A"/>
    <w:rsid w:val="006014F2"/>
    <w:rsid w:val="00603501"/>
    <w:rsid w:val="00603FE7"/>
    <w:rsid w:val="00606DD7"/>
    <w:rsid w:val="00607536"/>
    <w:rsid w:val="00607914"/>
    <w:rsid w:val="0061228E"/>
    <w:rsid w:val="0061351B"/>
    <w:rsid w:val="00615E6C"/>
    <w:rsid w:val="006275A4"/>
    <w:rsid w:val="00631188"/>
    <w:rsid w:val="006317F3"/>
    <w:rsid w:val="00631B1C"/>
    <w:rsid w:val="00634894"/>
    <w:rsid w:val="0063556B"/>
    <w:rsid w:val="006378A1"/>
    <w:rsid w:val="00637D53"/>
    <w:rsid w:val="0064035C"/>
    <w:rsid w:val="006429FB"/>
    <w:rsid w:val="006459AA"/>
    <w:rsid w:val="006512F6"/>
    <w:rsid w:val="006529A9"/>
    <w:rsid w:val="006529BB"/>
    <w:rsid w:val="0065324E"/>
    <w:rsid w:val="0065548A"/>
    <w:rsid w:val="006603A1"/>
    <w:rsid w:val="00661F9D"/>
    <w:rsid w:val="0066240F"/>
    <w:rsid w:val="0066394D"/>
    <w:rsid w:val="00665260"/>
    <w:rsid w:val="00665DF0"/>
    <w:rsid w:val="00665ECF"/>
    <w:rsid w:val="00670484"/>
    <w:rsid w:val="00671472"/>
    <w:rsid w:val="006735C8"/>
    <w:rsid w:val="006739A7"/>
    <w:rsid w:val="0067438C"/>
    <w:rsid w:val="0067758B"/>
    <w:rsid w:val="00681018"/>
    <w:rsid w:val="00681C5E"/>
    <w:rsid w:val="00681E28"/>
    <w:rsid w:val="00683317"/>
    <w:rsid w:val="006844FC"/>
    <w:rsid w:val="006874B8"/>
    <w:rsid w:val="006916F9"/>
    <w:rsid w:val="006922F7"/>
    <w:rsid w:val="00693056"/>
    <w:rsid w:val="00693951"/>
    <w:rsid w:val="006942A0"/>
    <w:rsid w:val="00697E50"/>
    <w:rsid w:val="006A2536"/>
    <w:rsid w:val="006A2A87"/>
    <w:rsid w:val="006A4554"/>
    <w:rsid w:val="006B174C"/>
    <w:rsid w:val="006B4249"/>
    <w:rsid w:val="006B5757"/>
    <w:rsid w:val="006B6165"/>
    <w:rsid w:val="006C0FE5"/>
    <w:rsid w:val="006C36E7"/>
    <w:rsid w:val="006D089F"/>
    <w:rsid w:val="006D2748"/>
    <w:rsid w:val="006D2D5C"/>
    <w:rsid w:val="006D318B"/>
    <w:rsid w:val="006D6272"/>
    <w:rsid w:val="006E12ED"/>
    <w:rsid w:val="006E2BE4"/>
    <w:rsid w:val="006E5E01"/>
    <w:rsid w:val="006E7335"/>
    <w:rsid w:val="006F2C47"/>
    <w:rsid w:val="006F343E"/>
    <w:rsid w:val="006F4FFD"/>
    <w:rsid w:val="006F504A"/>
    <w:rsid w:val="006F5280"/>
    <w:rsid w:val="006F52AB"/>
    <w:rsid w:val="006F5CF9"/>
    <w:rsid w:val="006F6FD5"/>
    <w:rsid w:val="006F7F6A"/>
    <w:rsid w:val="007008F4"/>
    <w:rsid w:val="007021E4"/>
    <w:rsid w:val="00704DE9"/>
    <w:rsid w:val="00705A4B"/>
    <w:rsid w:val="007074AE"/>
    <w:rsid w:val="00710E6F"/>
    <w:rsid w:val="00711C8A"/>
    <w:rsid w:val="00712673"/>
    <w:rsid w:val="007134FF"/>
    <w:rsid w:val="00715B75"/>
    <w:rsid w:val="007178A3"/>
    <w:rsid w:val="00720A81"/>
    <w:rsid w:val="00722670"/>
    <w:rsid w:val="0072269A"/>
    <w:rsid w:val="00724980"/>
    <w:rsid w:val="0073031E"/>
    <w:rsid w:val="00732CD4"/>
    <w:rsid w:val="00732E97"/>
    <w:rsid w:val="00733BA2"/>
    <w:rsid w:val="0073789F"/>
    <w:rsid w:val="00737C1A"/>
    <w:rsid w:val="007400AB"/>
    <w:rsid w:val="00740F29"/>
    <w:rsid w:val="007414BB"/>
    <w:rsid w:val="007417AC"/>
    <w:rsid w:val="0074274C"/>
    <w:rsid w:val="007429FD"/>
    <w:rsid w:val="00745B00"/>
    <w:rsid w:val="00745C97"/>
    <w:rsid w:val="00751262"/>
    <w:rsid w:val="007537FA"/>
    <w:rsid w:val="00755813"/>
    <w:rsid w:val="00755A10"/>
    <w:rsid w:val="00755A90"/>
    <w:rsid w:val="00755CC6"/>
    <w:rsid w:val="00757C47"/>
    <w:rsid w:val="00760AFA"/>
    <w:rsid w:val="00764938"/>
    <w:rsid w:val="007670A3"/>
    <w:rsid w:val="00767E2B"/>
    <w:rsid w:val="00770C73"/>
    <w:rsid w:val="00771084"/>
    <w:rsid w:val="007738EA"/>
    <w:rsid w:val="00775608"/>
    <w:rsid w:val="007805C2"/>
    <w:rsid w:val="00780DDA"/>
    <w:rsid w:val="007817BA"/>
    <w:rsid w:val="00782A70"/>
    <w:rsid w:val="007849BA"/>
    <w:rsid w:val="007866D9"/>
    <w:rsid w:val="00790B70"/>
    <w:rsid w:val="007915F3"/>
    <w:rsid w:val="007921C5"/>
    <w:rsid w:val="007A1F60"/>
    <w:rsid w:val="007A2970"/>
    <w:rsid w:val="007A3132"/>
    <w:rsid w:val="007A4288"/>
    <w:rsid w:val="007B0608"/>
    <w:rsid w:val="007B2172"/>
    <w:rsid w:val="007B3631"/>
    <w:rsid w:val="007B5158"/>
    <w:rsid w:val="007B535D"/>
    <w:rsid w:val="007B54BD"/>
    <w:rsid w:val="007B5C8B"/>
    <w:rsid w:val="007B5DC0"/>
    <w:rsid w:val="007B7783"/>
    <w:rsid w:val="007C0CF7"/>
    <w:rsid w:val="007C3CB0"/>
    <w:rsid w:val="007C724B"/>
    <w:rsid w:val="007D030C"/>
    <w:rsid w:val="007D0CC6"/>
    <w:rsid w:val="007D401A"/>
    <w:rsid w:val="007D42F4"/>
    <w:rsid w:val="007D4E9E"/>
    <w:rsid w:val="007D5CCA"/>
    <w:rsid w:val="007D5CDA"/>
    <w:rsid w:val="007D5F88"/>
    <w:rsid w:val="007D67D7"/>
    <w:rsid w:val="007D75E2"/>
    <w:rsid w:val="007E2A6D"/>
    <w:rsid w:val="007E4DD3"/>
    <w:rsid w:val="007E51C3"/>
    <w:rsid w:val="007F1179"/>
    <w:rsid w:val="007F1DE1"/>
    <w:rsid w:val="007F4683"/>
    <w:rsid w:val="007F5274"/>
    <w:rsid w:val="007F7CC2"/>
    <w:rsid w:val="007F7DCE"/>
    <w:rsid w:val="00800388"/>
    <w:rsid w:val="00803933"/>
    <w:rsid w:val="00804E10"/>
    <w:rsid w:val="008100F4"/>
    <w:rsid w:val="008114CF"/>
    <w:rsid w:val="00811C93"/>
    <w:rsid w:val="00812057"/>
    <w:rsid w:val="00812A57"/>
    <w:rsid w:val="00813179"/>
    <w:rsid w:val="00814176"/>
    <w:rsid w:val="00814D46"/>
    <w:rsid w:val="008168E3"/>
    <w:rsid w:val="00817539"/>
    <w:rsid w:val="00822D95"/>
    <w:rsid w:val="00822F7B"/>
    <w:rsid w:val="008243D2"/>
    <w:rsid w:val="0082476B"/>
    <w:rsid w:val="00827779"/>
    <w:rsid w:val="00830353"/>
    <w:rsid w:val="00831231"/>
    <w:rsid w:val="008330C4"/>
    <w:rsid w:val="008335D4"/>
    <w:rsid w:val="00834EF7"/>
    <w:rsid w:val="00835408"/>
    <w:rsid w:val="00836C40"/>
    <w:rsid w:val="0083718E"/>
    <w:rsid w:val="008377E6"/>
    <w:rsid w:val="0084287D"/>
    <w:rsid w:val="00842AD2"/>
    <w:rsid w:val="008451A2"/>
    <w:rsid w:val="00850D19"/>
    <w:rsid w:val="00851A75"/>
    <w:rsid w:val="008536A3"/>
    <w:rsid w:val="00854DB3"/>
    <w:rsid w:val="00855751"/>
    <w:rsid w:val="00855F24"/>
    <w:rsid w:val="008612E3"/>
    <w:rsid w:val="00864516"/>
    <w:rsid w:val="0086485E"/>
    <w:rsid w:val="0086772B"/>
    <w:rsid w:val="00867A8F"/>
    <w:rsid w:val="0087542B"/>
    <w:rsid w:val="00880363"/>
    <w:rsid w:val="008836EB"/>
    <w:rsid w:val="00883D2E"/>
    <w:rsid w:val="00884724"/>
    <w:rsid w:val="00884F1C"/>
    <w:rsid w:val="00885766"/>
    <w:rsid w:val="00886418"/>
    <w:rsid w:val="0088666D"/>
    <w:rsid w:val="00887B4E"/>
    <w:rsid w:val="008913DF"/>
    <w:rsid w:val="0089195C"/>
    <w:rsid w:val="0089202D"/>
    <w:rsid w:val="00893EBF"/>
    <w:rsid w:val="00894068"/>
    <w:rsid w:val="008940FA"/>
    <w:rsid w:val="008A1257"/>
    <w:rsid w:val="008A2042"/>
    <w:rsid w:val="008A2C2F"/>
    <w:rsid w:val="008A2F09"/>
    <w:rsid w:val="008A6804"/>
    <w:rsid w:val="008B2831"/>
    <w:rsid w:val="008B3C2F"/>
    <w:rsid w:val="008B5220"/>
    <w:rsid w:val="008B64A4"/>
    <w:rsid w:val="008B65E0"/>
    <w:rsid w:val="008B6F18"/>
    <w:rsid w:val="008C140B"/>
    <w:rsid w:val="008C25B9"/>
    <w:rsid w:val="008C30D4"/>
    <w:rsid w:val="008C3C20"/>
    <w:rsid w:val="008D1121"/>
    <w:rsid w:val="008D1B10"/>
    <w:rsid w:val="008D1D6B"/>
    <w:rsid w:val="008D5B1A"/>
    <w:rsid w:val="008D64A3"/>
    <w:rsid w:val="008D7669"/>
    <w:rsid w:val="008E10E1"/>
    <w:rsid w:val="008E43CD"/>
    <w:rsid w:val="008E4513"/>
    <w:rsid w:val="008E5127"/>
    <w:rsid w:val="008E7FC4"/>
    <w:rsid w:val="008F1284"/>
    <w:rsid w:val="008F396B"/>
    <w:rsid w:val="008F4B62"/>
    <w:rsid w:val="008F4C33"/>
    <w:rsid w:val="008F6A2B"/>
    <w:rsid w:val="009064EE"/>
    <w:rsid w:val="00907514"/>
    <w:rsid w:val="0090779F"/>
    <w:rsid w:val="009103AF"/>
    <w:rsid w:val="00911856"/>
    <w:rsid w:val="00916F44"/>
    <w:rsid w:val="00917C9B"/>
    <w:rsid w:val="00925159"/>
    <w:rsid w:val="00926068"/>
    <w:rsid w:val="009314AE"/>
    <w:rsid w:val="0093289A"/>
    <w:rsid w:val="00935C29"/>
    <w:rsid w:val="00935EF9"/>
    <w:rsid w:val="009419B4"/>
    <w:rsid w:val="009451BB"/>
    <w:rsid w:val="00950BD7"/>
    <w:rsid w:val="00951E21"/>
    <w:rsid w:val="009522D7"/>
    <w:rsid w:val="00953886"/>
    <w:rsid w:val="00957C8F"/>
    <w:rsid w:val="009602C9"/>
    <w:rsid w:val="00965FB6"/>
    <w:rsid w:val="00967FCF"/>
    <w:rsid w:val="00973029"/>
    <w:rsid w:val="00975E6F"/>
    <w:rsid w:val="009817F9"/>
    <w:rsid w:val="0098418E"/>
    <w:rsid w:val="0098443F"/>
    <w:rsid w:val="009857D0"/>
    <w:rsid w:val="00987CBC"/>
    <w:rsid w:val="0099131A"/>
    <w:rsid w:val="00991748"/>
    <w:rsid w:val="00994077"/>
    <w:rsid w:val="00995141"/>
    <w:rsid w:val="009A2217"/>
    <w:rsid w:val="009A4A2D"/>
    <w:rsid w:val="009A746B"/>
    <w:rsid w:val="009A7E4D"/>
    <w:rsid w:val="009B0B5A"/>
    <w:rsid w:val="009B0F34"/>
    <w:rsid w:val="009B2544"/>
    <w:rsid w:val="009B27C5"/>
    <w:rsid w:val="009B38E9"/>
    <w:rsid w:val="009B39A4"/>
    <w:rsid w:val="009B76D6"/>
    <w:rsid w:val="009C31EA"/>
    <w:rsid w:val="009C348B"/>
    <w:rsid w:val="009C39EC"/>
    <w:rsid w:val="009C3D2F"/>
    <w:rsid w:val="009C65DB"/>
    <w:rsid w:val="009C6D2D"/>
    <w:rsid w:val="009D05E6"/>
    <w:rsid w:val="009D091D"/>
    <w:rsid w:val="009D29CC"/>
    <w:rsid w:val="009D40F0"/>
    <w:rsid w:val="009D5C39"/>
    <w:rsid w:val="009D618E"/>
    <w:rsid w:val="009E2747"/>
    <w:rsid w:val="009F0BFB"/>
    <w:rsid w:val="009F1EA7"/>
    <w:rsid w:val="009F3156"/>
    <w:rsid w:val="009F3A8C"/>
    <w:rsid w:val="009F5E07"/>
    <w:rsid w:val="009F7575"/>
    <w:rsid w:val="00A008A6"/>
    <w:rsid w:val="00A03253"/>
    <w:rsid w:val="00A046C8"/>
    <w:rsid w:val="00A16878"/>
    <w:rsid w:val="00A16D05"/>
    <w:rsid w:val="00A1718C"/>
    <w:rsid w:val="00A21310"/>
    <w:rsid w:val="00A23A3D"/>
    <w:rsid w:val="00A2523B"/>
    <w:rsid w:val="00A25568"/>
    <w:rsid w:val="00A26A90"/>
    <w:rsid w:val="00A27622"/>
    <w:rsid w:val="00A33C93"/>
    <w:rsid w:val="00A359DF"/>
    <w:rsid w:val="00A410B7"/>
    <w:rsid w:val="00A41750"/>
    <w:rsid w:val="00A4392F"/>
    <w:rsid w:val="00A47144"/>
    <w:rsid w:val="00A52A35"/>
    <w:rsid w:val="00A52D69"/>
    <w:rsid w:val="00A53B2F"/>
    <w:rsid w:val="00A55570"/>
    <w:rsid w:val="00A55812"/>
    <w:rsid w:val="00A55F6A"/>
    <w:rsid w:val="00A564A8"/>
    <w:rsid w:val="00A60973"/>
    <w:rsid w:val="00A60EC7"/>
    <w:rsid w:val="00A64008"/>
    <w:rsid w:val="00A653B2"/>
    <w:rsid w:val="00A65F1B"/>
    <w:rsid w:val="00A7041D"/>
    <w:rsid w:val="00A73371"/>
    <w:rsid w:val="00A73CE5"/>
    <w:rsid w:val="00A74135"/>
    <w:rsid w:val="00A76E2E"/>
    <w:rsid w:val="00A776F2"/>
    <w:rsid w:val="00A77C4D"/>
    <w:rsid w:val="00A81551"/>
    <w:rsid w:val="00A84E1A"/>
    <w:rsid w:val="00A85D2E"/>
    <w:rsid w:val="00A86168"/>
    <w:rsid w:val="00A8797D"/>
    <w:rsid w:val="00A90A3A"/>
    <w:rsid w:val="00A91F9C"/>
    <w:rsid w:val="00A93550"/>
    <w:rsid w:val="00A95C74"/>
    <w:rsid w:val="00A960C9"/>
    <w:rsid w:val="00AA1580"/>
    <w:rsid w:val="00AA161E"/>
    <w:rsid w:val="00AA3652"/>
    <w:rsid w:val="00AA41DA"/>
    <w:rsid w:val="00AB2D03"/>
    <w:rsid w:val="00AB39E3"/>
    <w:rsid w:val="00AB463F"/>
    <w:rsid w:val="00AB531A"/>
    <w:rsid w:val="00AB6148"/>
    <w:rsid w:val="00AC0D62"/>
    <w:rsid w:val="00AD06E9"/>
    <w:rsid w:val="00AD140D"/>
    <w:rsid w:val="00AD2E5A"/>
    <w:rsid w:val="00AD5B79"/>
    <w:rsid w:val="00AD6CF7"/>
    <w:rsid w:val="00AE2EA6"/>
    <w:rsid w:val="00AE3F3A"/>
    <w:rsid w:val="00AE5B2E"/>
    <w:rsid w:val="00AF02D6"/>
    <w:rsid w:val="00AF1244"/>
    <w:rsid w:val="00AF214C"/>
    <w:rsid w:val="00AF2B0A"/>
    <w:rsid w:val="00AF441C"/>
    <w:rsid w:val="00AF5E67"/>
    <w:rsid w:val="00AF6C98"/>
    <w:rsid w:val="00B00618"/>
    <w:rsid w:val="00B02B53"/>
    <w:rsid w:val="00B0496D"/>
    <w:rsid w:val="00B04F64"/>
    <w:rsid w:val="00B06C5C"/>
    <w:rsid w:val="00B07FDD"/>
    <w:rsid w:val="00B12480"/>
    <w:rsid w:val="00B126B3"/>
    <w:rsid w:val="00B146A7"/>
    <w:rsid w:val="00B16FC7"/>
    <w:rsid w:val="00B2088E"/>
    <w:rsid w:val="00B21626"/>
    <w:rsid w:val="00B22958"/>
    <w:rsid w:val="00B26097"/>
    <w:rsid w:val="00B2695B"/>
    <w:rsid w:val="00B27056"/>
    <w:rsid w:val="00B30DE8"/>
    <w:rsid w:val="00B31978"/>
    <w:rsid w:val="00B33FE0"/>
    <w:rsid w:val="00B340BB"/>
    <w:rsid w:val="00B34420"/>
    <w:rsid w:val="00B3531B"/>
    <w:rsid w:val="00B355EE"/>
    <w:rsid w:val="00B356DA"/>
    <w:rsid w:val="00B35F27"/>
    <w:rsid w:val="00B3619E"/>
    <w:rsid w:val="00B36E62"/>
    <w:rsid w:val="00B37DFA"/>
    <w:rsid w:val="00B4085C"/>
    <w:rsid w:val="00B42B18"/>
    <w:rsid w:val="00B44860"/>
    <w:rsid w:val="00B45203"/>
    <w:rsid w:val="00B46451"/>
    <w:rsid w:val="00B466B7"/>
    <w:rsid w:val="00B46BE7"/>
    <w:rsid w:val="00B47C65"/>
    <w:rsid w:val="00B548FE"/>
    <w:rsid w:val="00B54B4D"/>
    <w:rsid w:val="00B554FA"/>
    <w:rsid w:val="00B60974"/>
    <w:rsid w:val="00B66ED6"/>
    <w:rsid w:val="00B677AF"/>
    <w:rsid w:val="00B67E58"/>
    <w:rsid w:val="00B7289A"/>
    <w:rsid w:val="00B7486D"/>
    <w:rsid w:val="00B77593"/>
    <w:rsid w:val="00B77A33"/>
    <w:rsid w:val="00B80C73"/>
    <w:rsid w:val="00B936F6"/>
    <w:rsid w:val="00B93F0F"/>
    <w:rsid w:val="00B94475"/>
    <w:rsid w:val="00B95660"/>
    <w:rsid w:val="00B96194"/>
    <w:rsid w:val="00B96EF5"/>
    <w:rsid w:val="00BA0365"/>
    <w:rsid w:val="00BA1CCC"/>
    <w:rsid w:val="00BA2A31"/>
    <w:rsid w:val="00BA4A05"/>
    <w:rsid w:val="00BA4FFE"/>
    <w:rsid w:val="00BA6C81"/>
    <w:rsid w:val="00BA6D89"/>
    <w:rsid w:val="00BB0755"/>
    <w:rsid w:val="00BB22A1"/>
    <w:rsid w:val="00BB4FD2"/>
    <w:rsid w:val="00BB5823"/>
    <w:rsid w:val="00BB61CE"/>
    <w:rsid w:val="00BC0EC3"/>
    <w:rsid w:val="00BC13C4"/>
    <w:rsid w:val="00BC4A0E"/>
    <w:rsid w:val="00BC5640"/>
    <w:rsid w:val="00BC6FA3"/>
    <w:rsid w:val="00BC78A3"/>
    <w:rsid w:val="00BC7AB7"/>
    <w:rsid w:val="00BD7279"/>
    <w:rsid w:val="00BD7B36"/>
    <w:rsid w:val="00BD7E17"/>
    <w:rsid w:val="00BE1897"/>
    <w:rsid w:val="00BE257B"/>
    <w:rsid w:val="00BE2B06"/>
    <w:rsid w:val="00BE3345"/>
    <w:rsid w:val="00BE707D"/>
    <w:rsid w:val="00BE710F"/>
    <w:rsid w:val="00BE7FA3"/>
    <w:rsid w:val="00BF3780"/>
    <w:rsid w:val="00BF427D"/>
    <w:rsid w:val="00BF46C3"/>
    <w:rsid w:val="00BF67AB"/>
    <w:rsid w:val="00BF6AB2"/>
    <w:rsid w:val="00BF6D53"/>
    <w:rsid w:val="00BF7F6C"/>
    <w:rsid w:val="00C03C7E"/>
    <w:rsid w:val="00C03E33"/>
    <w:rsid w:val="00C0586D"/>
    <w:rsid w:val="00C06304"/>
    <w:rsid w:val="00C06354"/>
    <w:rsid w:val="00C11987"/>
    <w:rsid w:val="00C12DF6"/>
    <w:rsid w:val="00C14B62"/>
    <w:rsid w:val="00C1673C"/>
    <w:rsid w:val="00C20339"/>
    <w:rsid w:val="00C22166"/>
    <w:rsid w:val="00C229FD"/>
    <w:rsid w:val="00C230EC"/>
    <w:rsid w:val="00C23416"/>
    <w:rsid w:val="00C237F8"/>
    <w:rsid w:val="00C24520"/>
    <w:rsid w:val="00C24CC6"/>
    <w:rsid w:val="00C27C7D"/>
    <w:rsid w:val="00C27DC7"/>
    <w:rsid w:val="00C30CE5"/>
    <w:rsid w:val="00C30E52"/>
    <w:rsid w:val="00C3153A"/>
    <w:rsid w:val="00C32334"/>
    <w:rsid w:val="00C329A4"/>
    <w:rsid w:val="00C3384B"/>
    <w:rsid w:val="00C364AD"/>
    <w:rsid w:val="00C36F97"/>
    <w:rsid w:val="00C4113E"/>
    <w:rsid w:val="00C4256B"/>
    <w:rsid w:val="00C4730D"/>
    <w:rsid w:val="00C53C43"/>
    <w:rsid w:val="00C54B04"/>
    <w:rsid w:val="00C57A36"/>
    <w:rsid w:val="00C60D35"/>
    <w:rsid w:val="00C61D58"/>
    <w:rsid w:val="00C64082"/>
    <w:rsid w:val="00C65D02"/>
    <w:rsid w:val="00C67D0F"/>
    <w:rsid w:val="00C701E3"/>
    <w:rsid w:val="00C717D8"/>
    <w:rsid w:val="00C720EC"/>
    <w:rsid w:val="00C72C3A"/>
    <w:rsid w:val="00C72F4E"/>
    <w:rsid w:val="00C72FBB"/>
    <w:rsid w:val="00C75A9F"/>
    <w:rsid w:val="00C77362"/>
    <w:rsid w:val="00C807F8"/>
    <w:rsid w:val="00C8084B"/>
    <w:rsid w:val="00C84930"/>
    <w:rsid w:val="00C84D76"/>
    <w:rsid w:val="00C8555D"/>
    <w:rsid w:val="00C87363"/>
    <w:rsid w:val="00C95268"/>
    <w:rsid w:val="00C959FD"/>
    <w:rsid w:val="00CA162C"/>
    <w:rsid w:val="00CA1B25"/>
    <w:rsid w:val="00CB1679"/>
    <w:rsid w:val="00CB20C6"/>
    <w:rsid w:val="00CB37C7"/>
    <w:rsid w:val="00CB3CA5"/>
    <w:rsid w:val="00CB5560"/>
    <w:rsid w:val="00CB5BC6"/>
    <w:rsid w:val="00CC0719"/>
    <w:rsid w:val="00CC51AC"/>
    <w:rsid w:val="00CC74F1"/>
    <w:rsid w:val="00CD4297"/>
    <w:rsid w:val="00CD46B6"/>
    <w:rsid w:val="00CD5743"/>
    <w:rsid w:val="00CD693F"/>
    <w:rsid w:val="00CD6C7A"/>
    <w:rsid w:val="00CD6FBB"/>
    <w:rsid w:val="00CE0942"/>
    <w:rsid w:val="00CE2CE2"/>
    <w:rsid w:val="00CE48AF"/>
    <w:rsid w:val="00CE48B0"/>
    <w:rsid w:val="00CE5D8A"/>
    <w:rsid w:val="00CE6798"/>
    <w:rsid w:val="00CF0629"/>
    <w:rsid w:val="00CF379B"/>
    <w:rsid w:val="00CF4E8C"/>
    <w:rsid w:val="00CF5D31"/>
    <w:rsid w:val="00CF75BC"/>
    <w:rsid w:val="00D011AF"/>
    <w:rsid w:val="00D01E08"/>
    <w:rsid w:val="00D0251C"/>
    <w:rsid w:val="00D06621"/>
    <w:rsid w:val="00D078C4"/>
    <w:rsid w:val="00D115AF"/>
    <w:rsid w:val="00D13C33"/>
    <w:rsid w:val="00D13F53"/>
    <w:rsid w:val="00D17BA5"/>
    <w:rsid w:val="00D20043"/>
    <w:rsid w:val="00D26756"/>
    <w:rsid w:val="00D311EA"/>
    <w:rsid w:val="00D31CEB"/>
    <w:rsid w:val="00D32237"/>
    <w:rsid w:val="00D33551"/>
    <w:rsid w:val="00D375D7"/>
    <w:rsid w:val="00D417CA"/>
    <w:rsid w:val="00D42913"/>
    <w:rsid w:val="00D47167"/>
    <w:rsid w:val="00D504CB"/>
    <w:rsid w:val="00D50825"/>
    <w:rsid w:val="00D53333"/>
    <w:rsid w:val="00D54081"/>
    <w:rsid w:val="00D543C4"/>
    <w:rsid w:val="00D60A0A"/>
    <w:rsid w:val="00D614BF"/>
    <w:rsid w:val="00D629DA"/>
    <w:rsid w:val="00D647F7"/>
    <w:rsid w:val="00D649D6"/>
    <w:rsid w:val="00D6721B"/>
    <w:rsid w:val="00D7172C"/>
    <w:rsid w:val="00D72C4E"/>
    <w:rsid w:val="00D74478"/>
    <w:rsid w:val="00D748DD"/>
    <w:rsid w:val="00D74CBE"/>
    <w:rsid w:val="00D76821"/>
    <w:rsid w:val="00D81B36"/>
    <w:rsid w:val="00D82CA7"/>
    <w:rsid w:val="00D903CD"/>
    <w:rsid w:val="00D94414"/>
    <w:rsid w:val="00D95589"/>
    <w:rsid w:val="00D96467"/>
    <w:rsid w:val="00D96710"/>
    <w:rsid w:val="00DA13BF"/>
    <w:rsid w:val="00DA29DC"/>
    <w:rsid w:val="00DA339C"/>
    <w:rsid w:val="00DA4D39"/>
    <w:rsid w:val="00DA5E0E"/>
    <w:rsid w:val="00DB0924"/>
    <w:rsid w:val="00DB3B36"/>
    <w:rsid w:val="00DB762B"/>
    <w:rsid w:val="00DB7A99"/>
    <w:rsid w:val="00DC011F"/>
    <w:rsid w:val="00DC019E"/>
    <w:rsid w:val="00DC26A0"/>
    <w:rsid w:val="00DC63EE"/>
    <w:rsid w:val="00DC7317"/>
    <w:rsid w:val="00DC7748"/>
    <w:rsid w:val="00DC7FA1"/>
    <w:rsid w:val="00DD0A5C"/>
    <w:rsid w:val="00DD7038"/>
    <w:rsid w:val="00DD78C4"/>
    <w:rsid w:val="00DD7904"/>
    <w:rsid w:val="00DD7BFD"/>
    <w:rsid w:val="00DE0CA3"/>
    <w:rsid w:val="00DE229F"/>
    <w:rsid w:val="00DE39F5"/>
    <w:rsid w:val="00DE44E6"/>
    <w:rsid w:val="00DE466A"/>
    <w:rsid w:val="00DE5FD6"/>
    <w:rsid w:val="00DE7331"/>
    <w:rsid w:val="00DF1253"/>
    <w:rsid w:val="00DF1CC3"/>
    <w:rsid w:val="00DF38D9"/>
    <w:rsid w:val="00E001E8"/>
    <w:rsid w:val="00E01BD0"/>
    <w:rsid w:val="00E02055"/>
    <w:rsid w:val="00E02DF8"/>
    <w:rsid w:val="00E02FC0"/>
    <w:rsid w:val="00E07635"/>
    <w:rsid w:val="00E119A4"/>
    <w:rsid w:val="00E14FE7"/>
    <w:rsid w:val="00E1725C"/>
    <w:rsid w:val="00E17862"/>
    <w:rsid w:val="00E214C7"/>
    <w:rsid w:val="00E22C8E"/>
    <w:rsid w:val="00E25243"/>
    <w:rsid w:val="00E25FE3"/>
    <w:rsid w:val="00E336B7"/>
    <w:rsid w:val="00E338B6"/>
    <w:rsid w:val="00E343E0"/>
    <w:rsid w:val="00E3743D"/>
    <w:rsid w:val="00E41B29"/>
    <w:rsid w:val="00E41B7F"/>
    <w:rsid w:val="00E41D9E"/>
    <w:rsid w:val="00E42493"/>
    <w:rsid w:val="00E42B46"/>
    <w:rsid w:val="00E42FA1"/>
    <w:rsid w:val="00E43C2A"/>
    <w:rsid w:val="00E440C8"/>
    <w:rsid w:val="00E45D30"/>
    <w:rsid w:val="00E5464B"/>
    <w:rsid w:val="00E5476C"/>
    <w:rsid w:val="00E5596D"/>
    <w:rsid w:val="00E573E3"/>
    <w:rsid w:val="00E6210F"/>
    <w:rsid w:val="00E6279B"/>
    <w:rsid w:val="00E6291B"/>
    <w:rsid w:val="00E62F98"/>
    <w:rsid w:val="00E6359C"/>
    <w:rsid w:val="00E637A4"/>
    <w:rsid w:val="00E643DD"/>
    <w:rsid w:val="00E6557F"/>
    <w:rsid w:val="00E6780C"/>
    <w:rsid w:val="00E712C5"/>
    <w:rsid w:val="00E74574"/>
    <w:rsid w:val="00E75F4B"/>
    <w:rsid w:val="00E82F2D"/>
    <w:rsid w:val="00E85D34"/>
    <w:rsid w:val="00E85E2F"/>
    <w:rsid w:val="00E9053D"/>
    <w:rsid w:val="00E908A6"/>
    <w:rsid w:val="00E910A5"/>
    <w:rsid w:val="00E9139D"/>
    <w:rsid w:val="00E91781"/>
    <w:rsid w:val="00E922CE"/>
    <w:rsid w:val="00E92B48"/>
    <w:rsid w:val="00EA3B97"/>
    <w:rsid w:val="00EA3F76"/>
    <w:rsid w:val="00EA7A1F"/>
    <w:rsid w:val="00EB2A7F"/>
    <w:rsid w:val="00EB320B"/>
    <w:rsid w:val="00EB3944"/>
    <w:rsid w:val="00EB3BFE"/>
    <w:rsid w:val="00EB3DFB"/>
    <w:rsid w:val="00EB5C53"/>
    <w:rsid w:val="00EB5F25"/>
    <w:rsid w:val="00EB6BA1"/>
    <w:rsid w:val="00EC1D7F"/>
    <w:rsid w:val="00EC232C"/>
    <w:rsid w:val="00EC2C86"/>
    <w:rsid w:val="00EC3CB0"/>
    <w:rsid w:val="00EC4776"/>
    <w:rsid w:val="00EC5223"/>
    <w:rsid w:val="00ED1E15"/>
    <w:rsid w:val="00ED261C"/>
    <w:rsid w:val="00ED4D0F"/>
    <w:rsid w:val="00ED5D1A"/>
    <w:rsid w:val="00ED6EC6"/>
    <w:rsid w:val="00ED728E"/>
    <w:rsid w:val="00EE093A"/>
    <w:rsid w:val="00EE19EF"/>
    <w:rsid w:val="00EE2CCF"/>
    <w:rsid w:val="00EE37AA"/>
    <w:rsid w:val="00EE72AE"/>
    <w:rsid w:val="00EF7162"/>
    <w:rsid w:val="00EF75BB"/>
    <w:rsid w:val="00EF7F5B"/>
    <w:rsid w:val="00F00D4C"/>
    <w:rsid w:val="00F03221"/>
    <w:rsid w:val="00F03FAE"/>
    <w:rsid w:val="00F06A7F"/>
    <w:rsid w:val="00F07610"/>
    <w:rsid w:val="00F07A3C"/>
    <w:rsid w:val="00F10E54"/>
    <w:rsid w:val="00F1105A"/>
    <w:rsid w:val="00F11673"/>
    <w:rsid w:val="00F12A01"/>
    <w:rsid w:val="00F20024"/>
    <w:rsid w:val="00F20203"/>
    <w:rsid w:val="00F2130B"/>
    <w:rsid w:val="00F2155D"/>
    <w:rsid w:val="00F245D0"/>
    <w:rsid w:val="00F247A1"/>
    <w:rsid w:val="00F2657B"/>
    <w:rsid w:val="00F27FA6"/>
    <w:rsid w:val="00F31AA6"/>
    <w:rsid w:val="00F31F73"/>
    <w:rsid w:val="00F359A6"/>
    <w:rsid w:val="00F376AD"/>
    <w:rsid w:val="00F37718"/>
    <w:rsid w:val="00F44574"/>
    <w:rsid w:val="00F504B8"/>
    <w:rsid w:val="00F513F1"/>
    <w:rsid w:val="00F5151C"/>
    <w:rsid w:val="00F52ABD"/>
    <w:rsid w:val="00F52BBE"/>
    <w:rsid w:val="00F541C6"/>
    <w:rsid w:val="00F54B43"/>
    <w:rsid w:val="00F632C7"/>
    <w:rsid w:val="00F651B6"/>
    <w:rsid w:val="00F67703"/>
    <w:rsid w:val="00F70DA4"/>
    <w:rsid w:val="00F74556"/>
    <w:rsid w:val="00F765B2"/>
    <w:rsid w:val="00F76BA9"/>
    <w:rsid w:val="00F8221E"/>
    <w:rsid w:val="00F8617B"/>
    <w:rsid w:val="00F86689"/>
    <w:rsid w:val="00F90512"/>
    <w:rsid w:val="00F90917"/>
    <w:rsid w:val="00F945D2"/>
    <w:rsid w:val="00F95DFB"/>
    <w:rsid w:val="00F97C14"/>
    <w:rsid w:val="00FA0CD0"/>
    <w:rsid w:val="00FA1CA1"/>
    <w:rsid w:val="00FA2758"/>
    <w:rsid w:val="00FA2E45"/>
    <w:rsid w:val="00FA3D0B"/>
    <w:rsid w:val="00FA4B4F"/>
    <w:rsid w:val="00FA528F"/>
    <w:rsid w:val="00FA686E"/>
    <w:rsid w:val="00FB0777"/>
    <w:rsid w:val="00FB09F4"/>
    <w:rsid w:val="00FB2388"/>
    <w:rsid w:val="00FB2396"/>
    <w:rsid w:val="00FB2C76"/>
    <w:rsid w:val="00FB3ACB"/>
    <w:rsid w:val="00FB7FA3"/>
    <w:rsid w:val="00FC3F35"/>
    <w:rsid w:val="00FC5F83"/>
    <w:rsid w:val="00FD0801"/>
    <w:rsid w:val="00FD228A"/>
    <w:rsid w:val="00FD275B"/>
    <w:rsid w:val="00FD4012"/>
    <w:rsid w:val="00FD4E5F"/>
    <w:rsid w:val="00FD5E9A"/>
    <w:rsid w:val="00FD7D34"/>
    <w:rsid w:val="00FE4021"/>
    <w:rsid w:val="00FE4463"/>
    <w:rsid w:val="00FE5738"/>
    <w:rsid w:val="00FE69DF"/>
    <w:rsid w:val="00FE751B"/>
    <w:rsid w:val="00FF0954"/>
    <w:rsid w:val="00FF6CA3"/>
    <w:rsid w:val="00FF7F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Classic 1" w:uiPriority="0"/>
    <w:lsdException w:name="Table Classic 2" w:uiPriority="0"/>
    <w:lsdException w:name="Table 3D effects 1"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9E"/>
  </w:style>
  <w:style w:type="paragraph" w:styleId="Heading1">
    <w:name w:val="heading 1"/>
    <w:basedOn w:val="Normal"/>
    <w:next w:val="Normal"/>
    <w:link w:val="Heading1Char"/>
    <w:uiPriority w:val="9"/>
    <w:qFormat/>
    <w:rsid w:val="00B3619E"/>
    <w:pPr>
      <w:pBdr>
        <w:bottom w:val="thinThickSmallGap" w:sz="12" w:space="1" w:color="628BAD" w:themeColor="accent2" w:themeShade="BF"/>
      </w:pBdr>
      <w:spacing w:before="400"/>
      <w:jc w:val="center"/>
      <w:outlineLvl w:val="0"/>
    </w:pPr>
    <w:rPr>
      <w:caps/>
      <w:color w:val="3E5D78" w:themeColor="accent2" w:themeShade="80"/>
      <w:spacing w:val="20"/>
      <w:sz w:val="28"/>
      <w:szCs w:val="28"/>
    </w:rPr>
  </w:style>
  <w:style w:type="paragraph" w:styleId="Heading2">
    <w:name w:val="heading 2"/>
    <w:aliases w:val="H2"/>
    <w:basedOn w:val="Normal"/>
    <w:next w:val="Normal"/>
    <w:link w:val="Heading2Char"/>
    <w:uiPriority w:val="9"/>
    <w:unhideWhenUsed/>
    <w:qFormat/>
    <w:rsid w:val="00D903CD"/>
    <w:pPr>
      <w:pBdr>
        <w:bottom w:val="single" w:sz="4" w:space="1" w:color="3E5C77" w:themeColor="accent2" w:themeShade="7F"/>
      </w:pBdr>
      <w:spacing w:before="400"/>
      <w:jc w:val="center"/>
      <w:outlineLvl w:val="1"/>
    </w:pPr>
    <w:rPr>
      <w:caps/>
      <w:color w:val="3E5D78" w:themeColor="accent2" w:themeShade="80"/>
      <w:spacing w:val="15"/>
      <w:kern w:val="24"/>
      <w:sz w:val="24"/>
      <w:szCs w:val="24"/>
    </w:rPr>
  </w:style>
  <w:style w:type="paragraph" w:styleId="Heading3">
    <w:name w:val="heading 3"/>
    <w:basedOn w:val="Normal"/>
    <w:next w:val="Normal"/>
    <w:link w:val="Heading3Char"/>
    <w:uiPriority w:val="9"/>
    <w:unhideWhenUsed/>
    <w:qFormat/>
    <w:rsid w:val="00B3619E"/>
    <w:pPr>
      <w:pBdr>
        <w:top w:val="dotted" w:sz="4" w:space="1" w:color="3E5C77" w:themeColor="accent2" w:themeShade="7F"/>
        <w:bottom w:val="dotted" w:sz="4" w:space="1" w:color="3E5C77" w:themeColor="accent2" w:themeShade="7F"/>
      </w:pBdr>
      <w:spacing w:before="300"/>
      <w:jc w:val="center"/>
      <w:outlineLvl w:val="2"/>
    </w:pPr>
    <w:rPr>
      <w:caps/>
      <w:color w:val="3E5C77" w:themeColor="accent2" w:themeShade="7F"/>
      <w:sz w:val="24"/>
      <w:szCs w:val="24"/>
    </w:rPr>
  </w:style>
  <w:style w:type="paragraph" w:styleId="Heading4">
    <w:name w:val="heading 4"/>
    <w:aliases w:val="Heading 4 Indented"/>
    <w:basedOn w:val="Normal"/>
    <w:next w:val="Normal"/>
    <w:link w:val="Heading4Char"/>
    <w:uiPriority w:val="9"/>
    <w:unhideWhenUsed/>
    <w:qFormat/>
    <w:rsid w:val="00B3619E"/>
    <w:pPr>
      <w:pBdr>
        <w:bottom w:val="dotted" w:sz="4" w:space="1" w:color="628BAD" w:themeColor="accent2" w:themeShade="BF"/>
      </w:pBdr>
      <w:spacing w:after="120"/>
      <w:jc w:val="center"/>
      <w:outlineLvl w:val="3"/>
    </w:pPr>
    <w:rPr>
      <w:caps/>
      <w:color w:val="3E5C77" w:themeColor="accent2" w:themeShade="7F"/>
      <w:spacing w:val="10"/>
    </w:rPr>
  </w:style>
  <w:style w:type="paragraph" w:styleId="Heading5">
    <w:name w:val="heading 5"/>
    <w:basedOn w:val="Normal"/>
    <w:next w:val="Normal"/>
    <w:link w:val="Heading5Char"/>
    <w:uiPriority w:val="9"/>
    <w:unhideWhenUsed/>
    <w:qFormat/>
    <w:rsid w:val="00B3619E"/>
    <w:pPr>
      <w:spacing w:before="320" w:after="120"/>
      <w:jc w:val="center"/>
      <w:outlineLvl w:val="4"/>
    </w:pPr>
    <w:rPr>
      <w:caps/>
      <w:color w:val="3E5C77" w:themeColor="accent2" w:themeShade="7F"/>
      <w:spacing w:val="10"/>
    </w:rPr>
  </w:style>
  <w:style w:type="paragraph" w:styleId="Heading6">
    <w:name w:val="heading 6"/>
    <w:basedOn w:val="Normal"/>
    <w:next w:val="Normal"/>
    <w:link w:val="Heading6Char"/>
    <w:uiPriority w:val="9"/>
    <w:unhideWhenUsed/>
    <w:qFormat/>
    <w:rsid w:val="00B3619E"/>
    <w:pPr>
      <w:spacing w:after="120"/>
      <w:jc w:val="center"/>
      <w:outlineLvl w:val="5"/>
    </w:pPr>
    <w:rPr>
      <w:caps/>
      <w:color w:val="628BAD" w:themeColor="accent2" w:themeShade="BF"/>
      <w:spacing w:val="10"/>
    </w:rPr>
  </w:style>
  <w:style w:type="paragraph" w:styleId="Heading7">
    <w:name w:val="heading 7"/>
    <w:basedOn w:val="Normal"/>
    <w:next w:val="Normal"/>
    <w:link w:val="Heading7Char"/>
    <w:uiPriority w:val="9"/>
    <w:unhideWhenUsed/>
    <w:qFormat/>
    <w:rsid w:val="00B3619E"/>
    <w:pPr>
      <w:spacing w:after="120"/>
      <w:jc w:val="center"/>
      <w:outlineLvl w:val="6"/>
    </w:pPr>
    <w:rPr>
      <w:i/>
      <w:iCs/>
      <w:caps/>
      <w:color w:val="628BAD" w:themeColor="accent2" w:themeShade="BF"/>
      <w:spacing w:val="10"/>
    </w:rPr>
  </w:style>
  <w:style w:type="paragraph" w:styleId="Heading8">
    <w:name w:val="heading 8"/>
    <w:basedOn w:val="Normal"/>
    <w:next w:val="Normal"/>
    <w:link w:val="Heading8Char"/>
    <w:uiPriority w:val="9"/>
    <w:unhideWhenUsed/>
    <w:qFormat/>
    <w:rsid w:val="00B3619E"/>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B3619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1 Char,Body Text Char Char Char,Body Text Char1 Char Char Char,Body Text Char Char Char Char Char,Body Text Char1 Char Char Char Char Char,Body Text Char Char Char Char Char Char Char,Body Text Char1 Char1 Char"/>
    <w:basedOn w:val="Normal"/>
    <w:link w:val="BodyTextChar1"/>
    <w:rsid w:val="003E06BC"/>
    <w:pPr>
      <w:spacing w:before="60" w:after="60"/>
    </w:pPr>
    <w:rPr>
      <w:rFonts w:ascii="Times New Roman" w:hAnsi="Times New Roman"/>
    </w:rPr>
  </w:style>
  <w:style w:type="paragraph" w:customStyle="1" w:styleId="TableHeading">
    <w:name w:val="Table Heading"/>
    <w:basedOn w:val="Normal"/>
    <w:rsid w:val="003E06BC"/>
    <w:pPr>
      <w:spacing w:before="60" w:after="60"/>
    </w:pPr>
    <w:rPr>
      <w:b/>
    </w:rPr>
  </w:style>
  <w:style w:type="paragraph" w:customStyle="1" w:styleId="TableText">
    <w:name w:val="Table Text"/>
    <w:basedOn w:val="Normal"/>
    <w:rsid w:val="003E06BC"/>
    <w:pPr>
      <w:spacing w:before="40" w:after="60"/>
    </w:pPr>
    <w:rPr>
      <w:sz w:val="18"/>
    </w:rPr>
  </w:style>
  <w:style w:type="paragraph" w:customStyle="1" w:styleId="ListTableNumber">
    <w:name w:val="List Table Number"/>
    <w:basedOn w:val="ListNumber2"/>
    <w:rsid w:val="003E06BC"/>
    <w:pPr>
      <w:numPr>
        <w:numId w:val="1"/>
      </w:numPr>
      <w:tabs>
        <w:tab w:val="clear" w:pos="432"/>
        <w:tab w:val="num" w:pos="270"/>
      </w:tabs>
      <w:spacing w:before="40" w:after="20"/>
      <w:ind w:left="270" w:hanging="270"/>
    </w:pPr>
    <w:rPr>
      <w:rFonts w:ascii="Arial" w:hAnsi="Arial" w:cs="Arial"/>
      <w:sz w:val="18"/>
    </w:rPr>
  </w:style>
  <w:style w:type="paragraph" w:styleId="ListNumber2">
    <w:name w:val="List Number 2"/>
    <w:basedOn w:val="Normal"/>
    <w:rsid w:val="003E06BC"/>
    <w:pPr>
      <w:numPr>
        <w:numId w:val="3"/>
      </w:numPr>
    </w:pPr>
    <w:rPr>
      <w:rFonts w:ascii="Times New Roman" w:hAnsi="Times New Roman"/>
    </w:rPr>
  </w:style>
  <w:style w:type="paragraph" w:styleId="BodyText2">
    <w:name w:val="Body Text 2"/>
    <w:basedOn w:val="Normal"/>
    <w:rsid w:val="003E06BC"/>
    <w:rPr>
      <w:rFonts w:ascii="Courier New" w:hAnsi="Courier New"/>
      <w:snapToGrid w:val="0"/>
      <w:color w:val="000000"/>
    </w:rPr>
  </w:style>
  <w:style w:type="paragraph" w:customStyle="1" w:styleId="Footer-ATT">
    <w:name w:val="Footer - ATT"/>
    <w:rsid w:val="003E06BC"/>
    <w:pPr>
      <w:tabs>
        <w:tab w:val="center" w:pos="4751"/>
        <w:tab w:val="right" w:pos="9000"/>
      </w:tabs>
      <w:spacing w:line="-180" w:lineRule="auto"/>
    </w:pPr>
    <w:rPr>
      <w:color w:val="000000"/>
      <w:sz w:val="16"/>
    </w:rPr>
  </w:style>
  <w:style w:type="character" w:styleId="PageNumber">
    <w:name w:val="page number"/>
    <w:basedOn w:val="DefaultParagraphFont"/>
    <w:rsid w:val="003E06BC"/>
    <w:rPr>
      <w:rFonts w:ascii="Times New Roman" w:hAnsi="Times New Roman"/>
      <w:sz w:val="20"/>
      <w:vertAlign w:val="baseline"/>
    </w:rPr>
  </w:style>
  <w:style w:type="paragraph" w:styleId="Title">
    <w:name w:val="Title"/>
    <w:basedOn w:val="Normal"/>
    <w:next w:val="Normal"/>
    <w:link w:val="TitleChar"/>
    <w:uiPriority w:val="10"/>
    <w:qFormat/>
    <w:rsid w:val="00B3619E"/>
    <w:pPr>
      <w:pBdr>
        <w:top w:val="dotted" w:sz="2" w:space="1" w:color="3E5D78" w:themeColor="accent2" w:themeShade="80"/>
        <w:bottom w:val="dotted" w:sz="2" w:space="6" w:color="3E5D78" w:themeColor="accent2" w:themeShade="80"/>
      </w:pBdr>
      <w:spacing w:before="500" w:after="300" w:line="240" w:lineRule="auto"/>
      <w:jc w:val="center"/>
    </w:pPr>
    <w:rPr>
      <w:caps/>
      <w:color w:val="3E5D78" w:themeColor="accent2" w:themeShade="80"/>
      <w:spacing w:val="50"/>
      <w:sz w:val="44"/>
      <w:szCs w:val="44"/>
    </w:rPr>
  </w:style>
  <w:style w:type="paragraph" w:customStyle="1" w:styleId="ListArrow">
    <w:name w:val="List Arrow"/>
    <w:basedOn w:val="BodyText"/>
    <w:rsid w:val="003E06BC"/>
    <w:pPr>
      <w:numPr>
        <w:numId w:val="2"/>
      </w:numPr>
      <w:spacing w:before="40" w:after="20"/>
    </w:pPr>
    <w:rPr>
      <w:szCs w:val="24"/>
    </w:rPr>
  </w:style>
  <w:style w:type="paragraph" w:customStyle="1" w:styleId="TableBullets">
    <w:name w:val="Table Bullets"/>
    <w:basedOn w:val="TableText"/>
    <w:rsid w:val="003E06BC"/>
    <w:pPr>
      <w:numPr>
        <w:numId w:val="5"/>
      </w:numPr>
      <w:tabs>
        <w:tab w:val="clear" w:pos="648"/>
        <w:tab w:val="num" w:pos="310"/>
      </w:tabs>
      <w:ind w:left="310" w:hanging="310"/>
    </w:pPr>
  </w:style>
  <w:style w:type="character" w:styleId="Hyperlink">
    <w:name w:val="Hyperlink"/>
    <w:basedOn w:val="DefaultParagraphFont"/>
    <w:uiPriority w:val="99"/>
    <w:rsid w:val="00FD7D34"/>
    <w:rPr>
      <w:color w:val="auto"/>
      <w:u w:val="none"/>
    </w:rPr>
  </w:style>
  <w:style w:type="paragraph" w:styleId="NormalWeb">
    <w:name w:val="Normal (Web)"/>
    <w:basedOn w:val="Normal"/>
    <w:uiPriority w:val="99"/>
    <w:rsid w:val="003E06BC"/>
    <w:pPr>
      <w:spacing w:before="100" w:beforeAutospacing="1" w:after="100" w:afterAutospacing="1"/>
    </w:pPr>
    <w:rPr>
      <w:rFonts w:ascii="Times New Roman" w:hAnsi="Times New Roman"/>
      <w:sz w:val="24"/>
      <w:szCs w:val="24"/>
    </w:rPr>
  </w:style>
  <w:style w:type="paragraph" w:customStyle="1" w:styleId="ATT">
    <w:name w:val="ATT"/>
    <w:rsid w:val="003E06BC"/>
    <w:pPr>
      <w:keepNext/>
      <w:spacing w:line="-400" w:lineRule="auto"/>
    </w:pPr>
    <w:rPr>
      <w:b/>
      <w:color w:val="000000"/>
      <w:spacing w:val="-10"/>
      <w:sz w:val="36"/>
    </w:rPr>
  </w:style>
  <w:style w:type="paragraph" w:customStyle="1" w:styleId="TSDG">
    <w:name w:val="TSDG"/>
    <w:rsid w:val="003E06BC"/>
    <w:pPr>
      <w:keepNext/>
      <w:spacing w:line="-320" w:lineRule="auto"/>
    </w:pPr>
    <w:rPr>
      <w:b/>
      <w:color w:val="000000"/>
      <w:spacing w:val="-10"/>
      <w:sz w:val="28"/>
    </w:rPr>
  </w:style>
  <w:style w:type="paragraph" w:customStyle="1" w:styleId="TitleBook">
    <w:name w:val="TitleBook"/>
    <w:rsid w:val="003E06BC"/>
    <w:pPr>
      <w:spacing w:line="-840" w:lineRule="auto"/>
    </w:pPr>
    <w:rPr>
      <w:color w:val="000000"/>
      <w:spacing w:val="-20"/>
      <w:sz w:val="72"/>
    </w:rPr>
  </w:style>
  <w:style w:type="paragraph" w:customStyle="1" w:styleId="DocCover">
    <w:name w:val="Doc# Cover"/>
    <w:rsid w:val="003E06BC"/>
    <w:pPr>
      <w:keepNext/>
      <w:tabs>
        <w:tab w:val="right" w:pos="1759"/>
      </w:tabs>
      <w:spacing w:line="-440" w:lineRule="auto"/>
    </w:pPr>
    <w:rPr>
      <w:color w:val="000000"/>
      <w:spacing w:val="-10"/>
      <w:sz w:val="36"/>
    </w:rPr>
  </w:style>
  <w:style w:type="paragraph" w:customStyle="1" w:styleId="PrefaceHead1">
    <w:name w:val="Preface Head 1"/>
    <w:next w:val="BodyText"/>
    <w:rsid w:val="003E06BC"/>
    <w:pPr>
      <w:pageBreakBefore/>
      <w:spacing w:before="240" w:after="240" w:line="440" w:lineRule="exact"/>
      <w:jc w:val="right"/>
      <w:outlineLvl w:val="0"/>
    </w:pPr>
    <w:rPr>
      <w:rFonts w:ascii="Verdana" w:hAnsi="Verdana"/>
      <w:b/>
      <w:color w:val="000000"/>
      <w:sz w:val="36"/>
    </w:rPr>
  </w:style>
  <w:style w:type="paragraph" w:customStyle="1" w:styleId="PrefaceHead2">
    <w:name w:val="Preface Head 2"/>
    <w:basedOn w:val="Normal"/>
    <w:next w:val="BodyText"/>
    <w:rsid w:val="003E06BC"/>
    <w:pPr>
      <w:keepNext/>
      <w:tabs>
        <w:tab w:val="right" w:leader="dot" w:pos="9000"/>
      </w:tabs>
      <w:spacing w:before="299" w:after="40" w:line="340" w:lineRule="exact"/>
      <w:outlineLvl w:val="0"/>
    </w:pPr>
    <w:rPr>
      <w:rFonts w:ascii="Verdana" w:hAnsi="Verdana"/>
      <w:b/>
      <w:color w:val="000000"/>
      <w:sz w:val="28"/>
    </w:rPr>
  </w:style>
  <w:style w:type="paragraph" w:styleId="TOC1">
    <w:name w:val="toc 1"/>
    <w:basedOn w:val="Normal"/>
    <w:next w:val="Normal"/>
    <w:autoRedefine/>
    <w:uiPriority w:val="39"/>
    <w:qFormat/>
    <w:rsid w:val="00C53C43"/>
    <w:pPr>
      <w:tabs>
        <w:tab w:val="left" w:pos="600"/>
        <w:tab w:val="right" w:leader="dot" w:pos="9360"/>
      </w:tabs>
    </w:pPr>
    <w:rPr>
      <w:caps/>
      <w:noProof/>
      <w:sz w:val="32"/>
      <w:szCs w:val="32"/>
    </w:rPr>
  </w:style>
  <w:style w:type="paragraph" w:styleId="TOC2">
    <w:name w:val="toc 2"/>
    <w:basedOn w:val="Normal"/>
    <w:next w:val="Normal"/>
    <w:autoRedefine/>
    <w:uiPriority w:val="39"/>
    <w:qFormat/>
    <w:rsid w:val="00F8221E"/>
    <w:pPr>
      <w:tabs>
        <w:tab w:val="left" w:pos="720"/>
        <w:tab w:val="right" w:leader="dot" w:pos="9360"/>
      </w:tabs>
      <w:ind w:left="200"/>
    </w:pPr>
    <w:rPr>
      <w:smallCaps/>
      <w:noProof/>
      <w:sz w:val="32"/>
      <w:szCs w:val="32"/>
    </w:rPr>
  </w:style>
  <w:style w:type="paragraph" w:styleId="TOC3">
    <w:name w:val="toc 3"/>
    <w:basedOn w:val="Normal"/>
    <w:next w:val="Normal"/>
    <w:autoRedefine/>
    <w:uiPriority w:val="39"/>
    <w:rsid w:val="00A74135"/>
    <w:pPr>
      <w:tabs>
        <w:tab w:val="left" w:pos="1200"/>
        <w:tab w:val="right" w:leader="dot" w:pos="8640"/>
      </w:tabs>
      <w:ind w:left="400" w:right="360"/>
    </w:pPr>
    <w:rPr>
      <w:noProof/>
    </w:rPr>
  </w:style>
  <w:style w:type="paragraph" w:styleId="TOC4">
    <w:name w:val="toc 4"/>
    <w:basedOn w:val="Normal"/>
    <w:next w:val="Normal"/>
    <w:autoRedefine/>
    <w:semiHidden/>
    <w:rsid w:val="003E06BC"/>
    <w:pPr>
      <w:tabs>
        <w:tab w:val="left" w:pos="1600"/>
        <w:tab w:val="right" w:leader="dot" w:pos="8640"/>
      </w:tabs>
      <w:ind w:left="600"/>
    </w:pPr>
    <w:rPr>
      <w:noProof/>
      <w:sz w:val="18"/>
      <w:szCs w:val="18"/>
    </w:rPr>
  </w:style>
  <w:style w:type="paragraph" w:styleId="TOC5">
    <w:name w:val="toc 5"/>
    <w:basedOn w:val="Normal"/>
    <w:next w:val="Normal"/>
    <w:autoRedefine/>
    <w:semiHidden/>
    <w:rsid w:val="003E06BC"/>
    <w:pPr>
      <w:ind w:left="800"/>
    </w:pPr>
  </w:style>
  <w:style w:type="paragraph" w:styleId="TOC6">
    <w:name w:val="toc 6"/>
    <w:basedOn w:val="Normal"/>
    <w:next w:val="Normal"/>
    <w:autoRedefine/>
    <w:semiHidden/>
    <w:rsid w:val="003E06BC"/>
    <w:pPr>
      <w:ind w:left="1000"/>
    </w:pPr>
  </w:style>
  <w:style w:type="paragraph" w:styleId="TOC7">
    <w:name w:val="toc 7"/>
    <w:basedOn w:val="Normal"/>
    <w:next w:val="Normal"/>
    <w:autoRedefine/>
    <w:semiHidden/>
    <w:rsid w:val="003E06BC"/>
    <w:pPr>
      <w:ind w:left="1200"/>
    </w:pPr>
  </w:style>
  <w:style w:type="paragraph" w:styleId="TOC8">
    <w:name w:val="toc 8"/>
    <w:basedOn w:val="Normal"/>
    <w:next w:val="Normal"/>
    <w:autoRedefine/>
    <w:semiHidden/>
    <w:rsid w:val="003E06BC"/>
    <w:pPr>
      <w:ind w:left="1400"/>
    </w:pPr>
  </w:style>
  <w:style w:type="paragraph" w:styleId="TOC9">
    <w:name w:val="toc 9"/>
    <w:basedOn w:val="Normal"/>
    <w:next w:val="Normal"/>
    <w:autoRedefine/>
    <w:semiHidden/>
    <w:rsid w:val="003E06BC"/>
    <w:pPr>
      <w:ind w:left="1600"/>
    </w:pPr>
  </w:style>
  <w:style w:type="paragraph" w:customStyle="1" w:styleId="Header-ATT">
    <w:name w:val="Header - ATT"/>
    <w:basedOn w:val="Normal"/>
    <w:next w:val="BodyText"/>
    <w:rsid w:val="003E06BC"/>
    <w:pPr>
      <w:keepNext/>
      <w:spacing w:before="120" w:after="20"/>
    </w:pPr>
    <w:rPr>
      <w:b/>
      <w:szCs w:val="24"/>
    </w:rPr>
  </w:style>
  <w:style w:type="paragraph" w:customStyle="1" w:styleId="ListNumberHeading2">
    <w:name w:val="List Number Heading 2"/>
    <w:basedOn w:val="ListNumber2"/>
    <w:rsid w:val="003E06BC"/>
    <w:pPr>
      <w:tabs>
        <w:tab w:val="clear" w:pos="720"/>
        <w:tab w:val="num" w:pos="1170"/>
      </w:tabs>
      <w:ind w:left="1170"/>
    </w:pPr>
  </w:style>
  <w:style w:type="character" w:styleId="FollowedHyperlink">
    <w:name w:val="FollowedHyperlink"/>
    <w:basedOn w:val="DefaultParagraphFont"/>
    <w:rsid w:val="003E06BC"/>
    <w:rPr>
      <w:color w:val="800080"/>
      <w:u w:val="single"/>
    </w:rPr>
  </w:style>
  <w:style w:type="paragraph" w:styleId="Header">
    <w:name w:val="header"/>
    <w:basedOn w:val="Normal"/>
    <w:link w:val="HeaderChar"/>
    <w:uiPriority w:val="99"/>
    <w:rsid w:val="003E06BC"/>
    <w:pPr>
      <w:tabs>
        <w:tab w:val="center" w:pos="4320"/>
        <w:tab w:val="right" w:pos="8640"/>
      </w:tabs>
    </w:pPr>
    <w:rPr>
      <w:rFonts w:ascii="Times New Roman" w:hAnsi="Times New Roman"/>
    </w:rPr>
  </w:style>
  <w:style w:type="paragraph" w:customStyle="1" w:styleId="Body">
    <w:name w:val="Body"/>
    <w:autoRedefine/>
    <w:rsid w:val="003E06BC"/>
    <w:pPr>
      <w:spacing w:after="100"/>
      <w:ind w:left="346" w:hanging="360"/>
    </w:pPr>
    <w:rPr>
      <w:b/>
      <w:color w:val="000000"/>
    </w:rPr>
  </w:style>
  <w:style w:type="paragraph" w:styleId="Footer">
    <w:name w:val="footer"/>
    <w:aliases w:val="f1,f12,f13,f14"/>
    <w:basedOn w:val="Normal"/>
    <w:link w:val="FooterChar"/>
    <w:uiPriority w:val="99"/>
    <w:rsid w:val="003E06BC"/>
    <w:pPr>
      <w:tabs>
        <w:tab w:val="center" w:pos="4320"/>
        <w:tab w:val="right" w:pos="8640"/>
      </w:tabs>
    </w:pPr>
  </w:style>
  <w:style w:type="paragraph" w:customStyle="1" w:styleId="TableChecklist">
    <w:name w:val="Table Checklist"/>
    <w:basedOn w:val="TableText"/>
    <w:rsid w:val="003E06BC"/>
    <w:pPr>
      <w:numPr>
        <w:numId w:val="4"/>
      </w:numPr>
      <w:tabs>
        <w:tab w:val="clear" w:pos="720"/>
        <w:tab w:val="num" w:pos="252"/>
      </w:tabs>
      <w:ind w:left="252" w:hanging="270"/>
    </w:pPr>
  </w:style>
  <w:style w:type="paragraph" w:customStyle="1" w:styleId="Header-ATT-subsection">
    <w:name w:val="Header - ATT - subsection"/>
    <w:basedOn w:val="Heading9"/>
    <w:next w:val="BodyText"/>
    <w:rsid w:val="003E06BC"/>
    <w:pPr>
      <w:keepNext/>
      <w:spacing w:before="120"/>
    </w:pPr>
  </w:style>
  <w:style w:type="paragraph" w:styleId="BodyTextIndent">
    <w:name w:val="Body Text Indent"/>
    <w:basedOn w:val="Normal"/>
    <w:link w:val="BodyTextIndentChar"/>
    <w:rsid w:val="003E06BC"/>
    <w:pPr>
      <w:ind w:left="288"/>
    </w:pPr>
    <w:rPr>
      <w:rFonts w:ascii="Courier New" w:hAnsi="Courier New"/>
      <w:snapToGrid w:val="0"/>
      <w:color w:val="000000"/>
    </w:rPr>
  </w:style>
  <w:style w:type="paragraph" w:customStyle="1" w:styleId="Tableletteredoutline">
    <w:name w:val="Table lettered outline"/>
    <w:basedOn w:val="TableBullets"/>
    <w:rsid w:val="003E06BC"/>
    <w:pPr>
      <w:numPr>
        <w:numId w:val="6"/>
      </w:numPr>
      <w:tabs>
        <w:tab w:val="clear" w:pos="360"/>
        <w:tab w:val="num" w:pos="288"/>
      </w:tabs>
    </w:pPr>
  </w:style>
  <w:style w:type="table" w:styleId="TableGrid">
    <w:name w:val="Table Grid"/>
    <w:basedOn w:val="TableNormal"/>
    <w:rsid w:val="0003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text"/>
    <w:basedOn w:val="Normal"/>
    <w:rsid w:val="00FF0954"/>
    <w:pPr>
      <w:keepLines/>
      <w:widowControl w:val="0"/>
      <w:spacing w:after="120" w:line="240" w:lineRule="atLeast"/>
    </w:pPr>
    <w:rPr>
      <w:rFonts w:ascii="Times New Roman" w:hAnsi="Times New Roman"/>
    </w:rPr>
  </w:style>
  <w:style w:type="paragraph" w:customStyle="1" w:styleId="StyleBodyTextItalic">
    <w:name w:val="Style Body Text + Italic"/>
    <w:basedOn w:val="BodyText"/>
    <w:link w:val="StyleBodyTextItalicChar"/>
    <w:autoRedefine/>
    <w:rsid w:val="002F0457"/>
    <w:pPr>
      <w:ind w:left="864"/>
    </w:pPr>
    <w:rPr>
      <w:iCs/>
    </w:rPr>
  </w:style>
  <w:style w:type="paragraph" w:customStyle="1" w:styleId="BodyTextforallSubHeadingsCharCharChar">
    <w:name w:val="Body Text for all Sub Headings Char Char Char"/>
    <w:basedOn w:val="BodyText"/>
    <w:link w:val="BodyTextforallSubHeadingsCharCharCharChar"/>
    <w:autoRedefine/>
    <w:rsid w:val="00BD7E17"/>
    <w:pPr>
      <w:numPr>
        <w:numId w:val="7"/>
      </w:numPr>
    </w:pPr>
  </w:style>
  <w:style w:type="paragraph" w:customStyle="1" w:styleId="StyleStyleBodyTextItalicItalicCharCharCharCharChar">
    <w:name w:val="Style Style Body Text + Italic + Italic Char Char Char Char Char"/>
    <w:basedOn w:val="StyleBodyTextItalic"/>
    <w:link w:val="StyleStyleBodyTextItalicItalicCharCharCharCharCharChar"/>
    <w:autoRedefine/>
    <w:rsid w:val="009B0B5A"/>
    <w:pPr>
      <w:ind w:left="0"/>
    </w:pPr>
    <w:rPr>
      <w:rFonts w:ascii="Tahoma" w:hAnsi="Tahoma" w:cs="Tahoma"/>
      <w:color w:val="000000"/>
    </w:rPr>
  </w:style>
  <w:style w:type="paragraph" w:customStyle="1" w:styleId="StyleHeading3TimesNewRoman">
    <w:name w:val="Style Heading 3 + Times New Roman"/>
    <w:basedOn w:val="Heading3"/>
    <w:autoRedefine/>
    <w:rsid w:val="00042EA6"/>
    <w:pPr>
      <w:spacing w:before="0" w:after="0"/>
      <w:ind w:left="1440"/>
    </w:pPr>
    <w:rPr>
      <w:rFonts w:ascii="Times New Roman" w:hAnsi="Times New Roman"/>
      <w:bCs/>
      <w:sz w:val="22"/>
    </w:rPr>
  </w:style>
  <w:style w:type="paragraph" w:customStyle="1" w:styleId="StyleHeading2H2TimesNewRomanNounderlineCharChar">
    <w:name w:val="Style Heading 2H2 + Times New Roman No underline Char Char"/>
    <w:basedOn w:val="Heading2"/>
    <w:link w:val="StyleHeading2H2TimesNewRomanNounderlineCharCharChar"/>
    <w:autoRedefine/>
    <w:rsid w:val="00EA7A1F"/>
    <w:pPr>
      <w:spacing w:before="0"/>
      <w:ind w:left="1584"/>
    </w:pPr>
    <w:rPr>
      <w:rFonts w:ascii="Tahoma" w:hAnsi="Tahoma" w:cs="Tahoma"/>
      <w:bCs/>
      <w:sz w:val="20"/>
    </w:rPr>
  </w:style>
  <w:style w:type="character" w:customStyle="1" w:styleId="BodyTextChar1">
    <w:name w:val="Body Text Char1"/>
    <w:aliases w:val="Body Text Char Char,Body Text Char1 Char Char,Body Text Char Char Char Char,Body Text Char1 Char Char Char Char,Body Text Char Char Char Char Char Char,Body Text Char1 Char Char Char Char Char Char,Body Text Char1 Char1 Char Char"/>
    <w:basedOn w:val="DefaultParagraphFont"/>
    <w:link w:val="BodyText"/>
    <w:rsid w:val="00705A4B"/>
    <w:rPr>
      <w:sz w:val="22"/>
      <w:lang w:val="en-US" w:eastAsia="en-US" w:bidi="ar-SA"/>
    </w:rPr>
  </w:style>
  <w:style w:type="character" w:customStyle="1" w:styleId="BodyTextforallSubHeadingsCharCharCharChar">
    <w:name w:val="Body Text for all Sub Headings Char Char Char Char"/>
    <w:basedOn w:val="BodyTextChar1"/>
    <w:link w:val="BodyTextforallSubHeadingsCharCharChar"/>
    <w:rsid w:val="00BD7E17"/>
    <w:rPr>
      <w:rFonts w:ascii="Times New Roman" w:hAnsi="Times New Roman"/>
      <w:sz w:val="22"/>
      <w:lang w:val="en-US" w:eastAsia="en-US" w:bidi="ar-SA"/>
    </w:rPr>
  </w:style>
  <w:style w:type="character" w:customStyle="1" w:styleId="StyleBodyTextItalicChar">
    <w:name w:val="Style Body Text + Italic Char"/>
    <w:basedOn w:val="BodyTextChar1"/>
    <w:link w:val="StyleBodyTextItalic"/>
    <w:rsid w:val="00705A4B"/>
    <w:rPr>
      <w:iCs/>
      <w:sz w:val="22"/>
      <w:lang w:val="en-US" w:eastAsia="en-US" w:bidi="ar-SA"/>
    </w:rPr>
  </w:style>
  <w:style w:type="character" w:customStyle="1" w:styleId="StyleStyleBodyTextItalicItalicCharCharCharCharCharChar">
    <w:name w:val="Style Style Body Text + Italic + Italic Char Char Char Char Char Char"/>
    <w:basedOn w:val="StyleBodyTextItalicChar"/>
    <w:link w:val="StyleStyleBodyTextItalicItalicCharCharCharCharChar"/>
    <w:rsid w:val="009B0B5A"/>
    <w:rPr>
      <w:rFonts w:ascii="Tahoma" w:hAnsi="Tahoma" w:cs="Tahoma"/>
      <w:iCs/>
      <w:color w:val="000000"/>
      <w:sz w:val="22"/>
      <w:lang w:val="en-US" w:eastAsia="en-US" w:bidi="ar-SA"/>
    </w:rPr>
  </w:style>
  <w:style w:type="paragraph" w:customStyle="1" w:styleId="StyleStyleBodyTextItalicItalic">
    <w:name w:val="Style Style Body Text + Italic + Italic"/>
    <w:basedOn w:val="Normal"/>
    <w:autoRedefine/>
    <w:rsid w:val="00BF7F6C"/>
    <w:pPr>
      <w:spacing w:before="60" w:after="60"/>
      <w:ind w:left="1152"/>
    </w:pPr>
    <w:rPr>
      <w:iCs/>
      <w:color w:val="000000"/>
    </w:rPr>
  </w:style>
  <w:style w:type="paragraph" w:customStyle="1" w:styleId="StyleStyleBodyTextItalicItalicCharCharChar">
    <w:name w:val="Style Style Body Text + Italic + Italic Char Char Char"/>
    <w:basedOn w:val="Normal"/>
    <w:autoRedefine/>
    <w:rsid w:val="00D32237"/>
    <w:pPr>
      <w:spacing w:before="60" w:after="60"/>
    </w:pPr>
    <w:rPr>
      <w:iCs/>
      <w:color w:val="000000"/>
    </w:rPr>
  </w:style>
  <w:style w:type="paragraph" w:customStyle="1" w:styleId="BodyTextforallSubHeadings">
    <w:name w:val="Body Text for all Sub Headings"/>
    <w:basedOn w:val="BodyText"/>
    <w:autoRedefine/>
    <w:rsid w:val="006874B8"/>
    <w:pPr>
      <w:ind w:left="1440"/>
    </w:pPr>
  </w:style>
  <w:style w:type="paragraph" w:styleId="BalloonText">
    <w:name w:val="Balloon Text"/>
    <w:basedOn w:val="Normal"/>
    <w:semiHidden/>
    <w:rsid w:val="0064035C"/>
    <w:rPr>
      <w:rFonts w:ascii="Tahoma" w:hAnsi="Tahoma" w:cs="Tahoma"/>
      <w:sz w:val="16"/>
      <w:szCs w:val="16"/>
    </w:rPr>
  </w:style>
  <w:style w:type="paragraph" w:customStyle="1" w:styleId="1111StyleHeading3TimesNewRoman">
    <w:name w:val="1.1.1.1 Style Heading 3 + Times New Roman"/>
    <w:basedOn w:val="StyleHeading3TimesNewRoman"/>
    <w:rsid w:val="007D0CC6"/>
    <w:pPr>
      <w:tabs>
        <w:tab w:val="num" w:pos="1512"/>
        <w:tab w:val="left" w:pos="11891"/>
      </w:tabs>
      <w:spacing w:before="60"/>
      <w:ind w:left="1890" w:hanging="1080"/>
      <w:outlineLvl w:val="3"/>
    </w:pPr>
    <w:rPr>
      <w:szCs w:val="22"/>
    </w:rPr>
  </w:style>
  <w:style w:type="character" w:customStyle="1" w:styleId="StyleHeading2H2TimesNewRomanNounderlineCharCharChar">
    <w:name w:val="Style Heading 2H2 + Times New Roman No underline Char Char Char"/>
    <w:basedOn w:val="DefaultParagraphFont"/>
    <w:link w:val="StyleHeading2H2TimesNewRomanNounderlineCharChar"/>
    <w:rsid w:val="00EA7A1F"/>
    <w:rPr>
      <w:rFonts w:ascii="Tahoma" w:hAnsi="Tahoma" w:cs="Tahoma"/>
      <w:b/>
      <w:bCs/>
    </w:rPr>
  </w:style>
  <w:style w:type="character" w:customStyle="1" w:styleId="BodyTextChar1Char1">
    <w:name w:val="Body Text Char1 Char1"/>
    <w:aliases w:val="Body Text Char Char Char1,Body Text Char1 Char Char Char1,Body Text Char Char Char Char Char1,Body Text Char1 Char Char Char Char Char1,Body Text Char2 Char Char Char Char Char"/>
    <w:basedOn w:val="DefaultParagraphFont"/>
    <w:rsid w:val="0073031E"/>
    <w:rPr>
      <w:sz w:val="22"/>
      <w:lang w:val="en-US" w:eastAsia="en-US" w:bidi="ar-SA"/>
    </w:rPr>
  </w:style>
  <w:style w:type="paragraph" w:customStyle="1" w:styleId="BodyTextforallSubHeadingsChar1CharCharChar">
    <w:name w:val="Body Text for all Sub Headings Char1 Char Char Char"/>
    <w:basedOn w:val="BodyText"/>
    <w:link w:val="BodyTextforallSubHeadingsChar1CharCharCharChar"/>
    <w:rsid w:val="007805C2"/>
    <w:pPr>
      <w:ind w:left="1440"/>
    </w:pPr>
    <w:rPr>
      <w:rFonts w:ascii="Arial" w:hAnsi="Arial"/>
    </w:rPr>
  </w:style>
  <w:style w:type="character" w:customStyle="1" w:styleId="BodyTextforallSubHeadingsChar1CharCharCharChar">
    <w:name w:val="Body Text for all Sub Headings Char1 Char Char Char Char"/>
    <w:basedOn w:val="DefaultParagraphFont"/>
    <w:link w:val="BodyTextforallSubHeadingsChar1CharCharChar"/>
    <w:rsid w:val="007805C2"/>
    <w:rPr>
      <w:rFonts w:ascii="Arial" w:hAnsi="Arial"/>
      <w:sz w:val="22"/>
      <w:lang w:val="en-US" w:eastAsia="en-US" w:bidi="ar-SA"/>
    </w:rPr>
  </w:style>
  <w:style w:type="paragraph" w:customStyle="1" w:styleId="StyleStyleBodyTextItalicItalicCharCharCharCharCharCharChar">
    <w:name w:val="Style Style Body Text + Italic + Italic Char Char Char Char Char Char Char"/>
    <w:basedOn w:val="Normal"/>
    <w:link w:val="StyleStyleBodyTextItalicItalicCharCharCharCharCharCharCharChar"/>
    <w:rsid w:val="007805C2"/>
    <w:pPr>
      <w:spacing w:before="60" w:after="60"/>
      <w:ind w:left="1440"/>
    </w:pPr>
    <w:rPr>
      <w:rFonts w:ascii="Times New Roman" w:hAnsi="Times New Roman"/>
      <w:iCs/>
    </w:rPr>
  </w:style>
  <w:style w:type="character" w:customStyle="1" w:styleId="BodyTextforallSubHeadingsChar1CharCharChar1Char">
    <w:name w:val="Body Text for all Sub Headings Char1 Char Char Char1 Char"/>
    <w:basedOn w:val="DefaultParagraphFont"/>
    <w:link w:val="BodyTextforallSubHeadingsChar1CharCharChar1"/>
    <w:rsid w:val="00D31CEB"/>
    <w:rPr>
      <w:sz w:val="22"/>
      <w:lang w:val="en-US" w:eastAsia="en-US" w:bidi="ar-SA"/>
    </w:rPr>
  </w:style>
  <w:style w:type="paragraph" w:customStyle="1" w:styleId="BodyTextforallSubHeadingsCharChar">
    <w:name w:val="Body Text for all Sub Headings Char Char"/>
    <w:basedOn w:val="BodyText"/>
    <w:link w:val="BodyTextforallSubHeadingsCharCharChar1"/>
    <w:autoRedefine/>
    <w:rsid w:val="00A55570"/>
    <w:pPr>
      <w:ind w:left="1440"/>
    </w:pPr>
    <w:rPr>
      <w:rFonts w:ascii="Arial" w:hAnsi="Arial"/>
    </w:rPr>
  </w:style>
  <w:style w:type="character" w:customStyle="1" w:styleId="BodyTextforallSubHeadingsCharCharChar1">
    <w:name w:val="Body Text for all Sub Headings Char Char Char1"/>
    <w:basedOn w:val="DefaultParagraphFont"/>
    <w:link w:val="BodyTextforallSubHeadingsCharChar"/>
    <w:rsid w:val="00A55570"/>
    <w:rPr>
      <w:rFonts w:ascii="Arial" w:hAnsi="Arial"/>
      <w:sz w:val="22"/>
      <w:lang w:val="en-US" w:eastAsia="en-US" w:bidi="ar-SA"/>
    </w:rPr>
  </w:style>
  <w:style w:type="paragraph" w:customStyle="1" w:styleId="StyleHeading2H2TimesNewRomanNounderlineChar">
    <w:name w:val="Style Heading 2H2 + Times New Roman No underline Char"/>
    <w:basedOn w:val="Heading2"/>
    <w:autoRedefine/>
    <w:rsid w:val="00B93F0F"/>
    <w:pPr>
      <w:tabs>
        <w:tab w:val="num" w:pos="1386"/>
      </w:tabs>
      <w:spacing w:line="360" w:lineRule="auto"/>
      <w:ind w:left="1602" w:hanging="792"/>
    </w:pPr>
    <w:rPr>
      <w:rFonts w:ascii="Times New Roman" w:hAnsi="Times New Roman"/>
      <w:bCs/>
      <w:szCs w:val="22"/>
    </w:rPr>
  </w:style>
  <w:style w:type="paragraph" w:customStyle="1" w:styleId="BodyTextforallSubHeadingsChar1CharCharChar1">
    <w:name w:val="Body Text for all Sub Headings Char1 Char Char Char1"/>
    <w:basedOn w:val="BodyText"/>
    <w:link w:val="BodyTextforallSubHeadingsChar1CharCharChar1Char"/>
    <w:rsid w:val="00B93F0F"/>
    <w:pPr>
      <w:ind w:left="1440"/>
    </w:pPr>
    <w:rPr>
      <w:rFonts w:ascii="Arial" w:hAnsi="Arial"/>
    </w:rPr>
  </w:style>
  <w:style w:type="paragraph" w:customStyle="1" w:styleId="BodyTextforallSubHeadingsChar1Char">
    <w:name w:val="Body Text for all Sub Headings Char1 Char"/>
    <w:basedOn w:val="BodyText"/>
    <w:rsid w:val="00B93F0F"/>
    <w:pPr>
      <w:ind w:left="1440"/>
    </w:pPr>
  </w:style>
  <w:style w:type="paragraph" w:customStyle="1" w:styleId="BodyTextforallSubHeadingsChar1CharChar">
    <w:name w:val="Body Text for all Sub Headings Char1 Char Char"/>
    <w:basedOn w:val="BodyText"/>
    <w:rsid w:val="002F2FEB"/>
    <w:pPr>
      <w:ind w:left="1440"/>
    </w:pPr>
  </w:style>
  <w:style w:type="paragraph" w:customStyle="1" w:styleId="BodyTextforallSubHeadingsCharCharCharCharCharChar">
    <w:name w:val="Body Text for all Sub Headings Char Char Char Char Char Char"/>
    <w:basedOn w:val="BodyText"/>
    <w:autoRedefine/>
    <w:rsid w:val="001C0784"/>
    <w:pPr>
      <w:ind w:left="1728"/>
    </w:pPr>
    <w:rPr>
      <w:color w:val="000000"/>
    </w:rPr>
  </w:style>
  <w:style w:type="character" w:styleId="Strong">
    <w:name w:val="Strong"/>
    <w:uiPriority w:val="22"/>
    <w:qFormat/>
    <w:rsid w:val="00B3619E"/>
    <w:rPr>
      <w:b/>
      <w:bCs/>
      <w:color w:val="628BAD" w:themeColor="accent2" w:themeShade="BF"/>
      <w:spacing w:val="5"/>
    </w:rPr>
  </w:style>
  <w:style w:type="paragraph" w:customStyle="1" w:styleId="StyleStyleHeading2H2TimesNewRomanNounderline14pt">
    <w:name w:val="Style Style Heading 2H2 + Times New Roman No underline + 14 pt"/>
    <w:basedOn w:val="Normal"/>
    <w:autoRedefine/>
    <w:rsid w:val="00FE69DF"/>
    <w:pPr>
      <w:keepNext/>
      <w:tabs>
        <w:tab w:val="num" w:pos="792"/>
      </w:tabs>
      <w:spacing w:before="240" w:after="60"/>
      <w:ind w:left="1656" w:hanging="792"/>
      <w:outlineLvl w:val="1"/>
    </w:pPr>
    <w:rPr>
      <w:rFonts w:ascii="Times New Roman" w:hAnsi="Times New Roman"/>
      <w:b/>
      <w:bCs/>
      <w:sz w:val="28"/>
    </w:rPr>
  </w:style>
  <w:style w:type="character" w:customStyle="1" w:styleId="StyleStyleBodyTextItalicItalicCharCharCharCharCharCharCharChar">
    <w:name w:val="Style Style Body Text + Italic + Italic Char Char Char Char Char Char Char Char"/>
    <w:basedOn w:val="DefaultParagraphFont"/>
    <w:link w:val="StyleStyleBodyTextItalicItalicCharCharCharCharCharCharChar"/>
    <w:rsid w:val="00FE69DF"/>
    <w:rPr>
      <w:iCs/>
      <w:sz w:val="22"/>
      <w:lang w:val="en-US" w:eastAsia="en-US" w:bidi="ar-SA"/>
    </w:rPr>
  </w:style>
  <w:style w:type="paragraph" w:customStyle="1" w:styleId="Char">
    <w:name w:val="Char"/>
    <w:basedOn w:val="Normal"/>
    <w:rsid w:val="003566A4"/>
    <w:pPr>
      <w:spacing w:after="160" w:line="240" w:lineRule="exact"/>
    </w:pPr>
    <w:rPr>
      <w:rFonts w:ascii="Verdana" w:hAnsi="Verdana"/>
    </w:rPr>
  </w:style>
  <w:style w:type="paragraph" w:customStyle="1" w:styleId="ABLOCKPARA">
    <w:name w:val="A BLOCK PARA"/>
    <w:basedOn w:val="Normal"/>
    <w:rsid w:val="003566A4"/>
    <w:rPr>
      <w:rFonts w:ascii="Book Antiqua" w:hAnsi="Book Antiqua"/>
      <w:iCs/>
    </w:rPr>
  </w:style>
  <w:style w:type="paragraph" w:customStyle="1" w:styleId="ABULLET">
    <w:name w:val="A BULLET"/>
    <w:basedOn w:val="ABLOCKPARA"/>
    <w:rsid w:val="003566A4"/>
    <w:pPr>
      <w:ind w:left="331" w:hanging="331"/>
    </w:pPr>
  </w:style>
  <w:style w:type="paragraph" w:customStyle="1" w:styleId="AINDENTEDBULLET">
    <w:name w:val="A INDENTED BULLET"/>
    <w:basedOn w:val="ABLOCKPARA"/>
    <w:rsid w:val="003566A4"/>
    <w:pPr>
      <w:tabs>
        <w:tab w:val="left" w:pos="1080"/>
      </w:tabs>
      <w:ind w:left="662" w:hanging="331"/>
    </w:pPr>
  </w:style>
  <w:style w:type="paragraph" w:customStyle="1" w:styleId="AINDENTEDPARA">
    <w:name w:val="A INDENTED PARA"/>
    <w:basedOn w:val="ABLOCKPARA"/>
    <w:rsid w:val="003566A4"/>
    <w:pPr>
      <w:ind w:left="331"/>
    </w:pPr>
  </w:style>
  <w:style w:type="paragraph" w:customStyle="1" w:styleId="TableCell">
    <w:name w:val="Table Cell"/>
    <w:basedOn w:val="Normal"/>
    <w:next w:val="Normal"/>
    <w:rsid w:val="003566A4"/>
    <w:pPr>
      <w:spacing w:before="20" w:after="20"/>
    </w:pPr>
    <w:rPr>
      <w:rFonts w:cs="Arial"/>
      <w:iCs/>
      <w:noProof/>
    </w:rPr>
  </w:style>
  <w:style w:type="paragraph" w:customStyle="1" w:styleId="Para">
    <w:name w:val="Para"/>
    <w:basedOn w:val="Normal"/>
    <w:rsid w:val="003566A4"/>
    <w:pPr>
      <w:autoSpaceDE w:val="0"/>
      <w:autoSpaceDN w:val="0"/>
      <w:adjustRightInd w:val="0"/>
      <w:spacing w:before="100" w:line="240" w:lineRule="atLeast"/>
      <w:ind w:left="720"/>
    </w:pPr>
    <w:rPr>
      <w:iCs/>
      <w:color w:val="000000"/>
      <w:szCs w:val="24"/>
    </w:rPr>
  </w:style>
  <w:style w:type="paragraph" w:customStyle="1" w:styleId="Appendix">
    <w:name w:val="Appendix"/>
    <w:basedOn w:val="Normal"/>
    <w:next w:val="Body"/>
    <w:rsid w:val="003566A4"/>
    <w:pPr>
      <w:keepNext/>
      <w:pageBreakBefore/>
      <w:pBdr>
        <w:bottom w:val="double" w:sz="4" w:space="1" w:color="auto"/>
      </w:pBdr>
      <w:spacing w:before="240" w:after="120"/>
      <w:ind w:left="432" w:hanging="432"/>
      <w:outlineLvl w:val="0"/>
    </w:pPr>
    <w:rPr>
      <w:b/>
      <w:iCs/>
      <w:sz w:val="44"/>
    </w:rPr>
  </w:style>
  <w:style w:type="paragraph" w:customStyle="1" w:styleId="Appendix2">
    <w:name w:val="Appendix2"/>
    <w:basedOn w:val="Normal"/>
    <w:next w:val="Body"/>
    <w:rsid w:val="003566A4"/>
    <w:pPr>
      <w:keepNext/>
      <w:tabs>
        <w:tab w:val="num" w:pos="576"/>
      </w:tabs>
      <w:spacing w:before="240" w:after="120"/>
      <w:ind w:left="576" w:hanging="576"/>
      <w:outlineLvl w:val="1"/>
    </w:pPr>
    <w:rPr>
      <w:iCs/>
      <w:sz w:val="32"/>
    </w:rPr>
  </w:style>
  <w:style w:type="paragraph" w:customStyle="1" w:styleId="Appendix3">
    <w:name w:val="Appendix3"/>
    <w:basedOn w:val="Normal"/>
    <w:next w:val="Body"/>
    <w:rsid w:val="003566A4"/>
    <w:pPr>
      <w:keepNext/>
      <w:tabs>
        <w:tab w:val="num" w:pos="720"/>
      </w:tabs>
      <w:spacing w:before="240" w:after="120"/>
      <w:ind w:left="720" w:hanging="720"/>
      <w:outlineLvl w:val="2"/>
    </w:pPr>
    <w:rPr>
      <w:b/>
      <w:iCs/>
      <w:sz w:val="24"/>
    </w:rPr>
  </w:style>
  <w:style w:type="paragraph" w:customStyle="1" w:styleId="Appendix4">
    <w:name w:val="Appendix4"/>
    <w:basedOn w:val="Normal"/>
    <w:next w:val="Body"/>
    <w:rsid w:val="003566A4"/>
    <w:pPr>
      <w:keepNext/>
      <w:tabs>
        <w:tab w:val="left" w:pos="900"/>
        <w:tab w:val="num" w:pos="1080"/>
      </w:tabs>
      <w:spacing w:before="240" w:after="120"/>
      <w:ind w:left="864" w:hanging="864"/>
      <w:outlineLvl w:val="3"/>
    </w:pPr>
    <w:rPr>
      <w:i/>
      <w:iCs/>
      <w:sz w:val="24"/>
    </w:rPr>
  </w:style>
  <w:style w:type="paragraph" w:customStyle="1" w:styleId="Appendix5">
    <w:name w:val="Appendix5"/>
    <w:basedOn w:val="Normal"/>
    <w:next w:val="Body"/>
    <w:rsid w:val="003566A4"/>
    <w:pPr>
      <w:keepNext/>
      <w:tabs>
        <w:tab w:val="left" w:pos="900"/>
        <w:tab w:val="num" w:pos="1440"/>
      </w:tabs>
      <w:spacing w:before="240" w:after="120"/>
      <w:ind w:left="1008" w:hanging="1008"/>
      <w:outlineLvl w:val="3"/>
    </w:pPr>
    <w:rPr>
      <w:i/>
      <w:iCs/>
    </w:rPr>
  </w:style>
  <w:style w:type="paragraph" w:customStyle="1" w:styleId="Appendix6">
    <w:name w:val="Appendix6"/>
    <w:basedOn w:val="Normal"/>
    <w:next w:val="Body"/>
    <w:rsid w:val="003566A4"/>
    <w:pPr>
      <w:keepNext/>
      <w:tabs>
        <w:tab w:val="left" w:pos="900"/>
        <w:tab w:val="num" w:pos="4320"/>
      </w:tabs>
      <w:spacing w:before="240" w:after="120"/>
      <w:ind w:left="4320" w:hanging="180"/>
      <w:outlineLvl w:val="3"/>
    </w:pPr>
    <w:rPr>
      <w:i/>
    </w:rPr>
  </w:style>
  <w:style w:type="character" w:customStyle="1" w:styleId="HelpText">
    <w:name w:val="Help Text"/>
    <w:rsid w:val="003566A4"/>
    <w:rPr>
      <w:i/>
      <w:vanish/>
      <w:color w:val="FF0000"/>
    </w:rPr>
  </w:style>
  <w:style w:type="paragraph" w:customStyle="1" w:styleId="GuidanceText">
    <w:name w:val="Guidance Text"/>
    <w:basedOn w:val="Normal"/>
    <w:link w:val="GuidanceTextChar"/>
    <w:rsid w:val="003566A4"/>
    <w:rPr>
      <w:i/>
      <w:color w:val="0000FF"/>
    </w:rPr>
  </w:style>
  <w:style w:type="character" w:customStyle="1" w:styleId="GuidanceTextChar">
    <w:name w:val="Guidance Text Char"/>
    <w:basedOn w:val="DefaultParagraphFont"/>
    <w:link w:val="GuidanceText"/>
    <w:rsid w:val="003566A4"/>
    <w:rPr>
      <w:rFonts w:ascii="Arial" w:hAnsi="Arial"/>
      <w:i/>
      <w:color w:val="0000FF"/>
    </w:rPr>
  </w:style>
  <w:style w:type="paragraph" w:styleId="DocumentMap">
    <w:name w:val="Document Map"/>
    <w:basedOn w:val="Normal"/>
    <w:link w:val="DocumentMapChar"/>
    <w:semiHidden/>
    <w:rsid w:val="003566A4"/>
    <w:pPr>
      <w:shd w:val="clear" w:color="auto" w:fill="000080"/>
    </w:pPr>
    <w:rPr>
      <w:rFonts w:ascii="Tahoma" w:hAnsi="Tahoma" w:cs="Tahoma"/>
      <w:iCs/>
    </w:rPr>
  </w:style>
  <w:style w:type="character" w:customStyle="1" w:styleId="DocumentMapChar">
    <w:name w:val="Document Map Char"/>
    <w:basedOn w:val="DefaultParagraphFont"/>
    <w:link w:val="DocumentMap"/>
    <w:semiHidden/>
    <w:rsid w:val="003566A4"/>
    <w:rPr>
      <w:rFonts w:ascii="Tahoma" w:hAnsi="Tahoma" w:cs="Tahoma"/>
      <w:iCs/>
      <w:shd w:val="clear" w:color="auto" w:fill="000080"/>
    </w:rPr>
  </w:style>
  <w:style w:type="paragraph" w:customStyle="1" w:styleId="CharCharCharCharCharChar">
    <w:name w:val="Char Char Char Char Char Char"/>
    <w:basedOn w:val="Normal"/>
    <w:rsid w:val="003566A4"/>
    <w:pPr>
      <w:spacing w:after="160" w:line="240" w:lineRule="exact"/>
    </w:pPr>
    <w:rPr>
      <w:rFonts w:ascii="Verdana" w:hAnsi="Verdana"/>
    </w:rPr>
  </w:style>
  <w:style w:type="table" w:styleId="TableClassic2">
    <w:name w:val="Table Classic 2"/>
    <w:basedOn w:val="TableNormal"/>
    <w:rsid w:val="003566A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566A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566A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3566A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3566A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B3619E"/>
    <w:pPr>
      <w:ind w:left="720"/>
      <w:contextualSpacing/>
    </w:pPr>
  </w:style>
  <w:style w:type="table" w:customStyle="1" w:styleId="LightGrid-Accent11">
    <w:name w:val="Light Grid - Accent 11"/>
    <w:basedOn w:val="TableNormal"/>
    <w:uiPriority w:val="62"/>
    <w:rsid w:val="00C67D0F"/>
    <w:tblPr>
      <w:tblStyleRowBandSize w:val="1"/>
      <w:tblStyleColBandSize w:val="1"/>
      <w:tblInd w:w="0" w:type="dxa"/>
      <w:tblBorders>
        <w:top w:val="single" w:sz="8" w:space="0" w:color="727CA3" w:themeColor="accent1"/>
        <w:left w:val="single" w:sz="8" w:space="0" w:color="727CA3" w:themeColor="accent1"/>
        <w:bottom w:val="single" w:sz="8" w:space="0" w:color="727CA3" w:themeColor="accent1"/>
        <w:right w:val="single" w:sz="8" w:space="0" w:color="727CA3" w:themeColor="accent1"/>
        <w:insideH w:val="single" w:sz="8" w:space="0" w:color="727CA3" w:themeColor="accent1"/>
        <w:insideV w:val="single" w:sz="8" w:space="0" w:color="727CA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18" w:space="0" w:color="727CA3" w:themeColor="accent1"/>
          <w:right w:val="single" w:sz="8" w:space="0" w:color="727CA3" w:themeColor="accent1"/>
          <w:insideH w:val="nil"/>
          <w:insideV w:val="single" w:sz="8" w:space="0" w:color="727CA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CA3" w:themeColor="accent1"/>
          <w:left w:val="single" w:sz="8" w:space="0" w:color="727CA3" w:themeColor="accent1"/>
          <w:bottom w:val="single" w:sz="8" w:space="0" w:color="727CA3" w:themeColor="accent1"/>
          <w:right w:val="single" w:sz="8" w:space="0" w:color="727CA3" w:themeColor="accent1"/>
          <w:insideH w:val="nil"/>
          <w:insideV w:val="single" w:sz="8" w:space="0" w:color="727CA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tcPr>
    </w:tblStylePr>
    <w:tblStylePr w:type="band1Vert">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shd w:val="clear" w:color="auto" w:fill="DCDEE8" w:themeFill="accent1" w:themeFillTint="3F"/>
      </w:tcPr>
    </w:tblStylePr>
    <w:tblStylePr w:type="band1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shd w:val="clear" w:color="auto" w:fill="DCDEE8" w:themeFill="accent1" w:themeFillTint="3F"/>
      </w:tcPr>
    </w:tblStylePr>
    <w:tblStylePr w:type="band2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tcPr>
    </w:tblStylePr>
  </w:style>
  <w:style w:type="table" w:styleId="LightGrid-Accent4">
    <w:name w:val="Light Grid Accent 4"/>
    <w:basedOn w:val="TableNormal"/>
    <w:uiPriority w:val="62"/>
    <w:rsid w:val="0052662F"/>
    <w:tblPr>
      <w:tblStyleRowBandSize w:val="1"/>
      <w:tblStyleColBandSize w:val="1"/>
      <w:tblInd w:w="0" w:type="dxa"/>
      <w:tblBorders>
        <w:top w:val="single" w:sz="8" w:space="0" w:color="FADA7A" w:themeColor="accent4"/>
        <w:left w:val="single" w:sz="8" w:space="0" w:color="FADA7A" w:themeColor="accent4"/>
        <w:bottom w:val="single" w:sz="8" w:space="0" w:color="FADA7A" w:themeColor="accent4"/>
        <w:right w:val="single" w:sz="8" w:space="0" w:color="FADA7A" w:themeColor="accent4"/>
        <w:insideH w:val="single" w:sz="8" w:space="0" w:color="FADA7A" w:themeColor="accent4"/>
        <w:insideV w:val="single" w:sz="8" w:space="0" w:color="FADA7A"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ADA7A" w:themeColor="accent4"/>
          <w:left w:val="single" w:sz="8" w:space="0" w:color="FADA7A" w:themeColor="accent4"/>
          <w:bottom w:val="single" w:sz="18" w:space="0" w:color="FADA7A" w:themeColor="accent4"/>
          <w:right w:val="single" w:sz="8" w:space="0" w:color="FADA7A" w:themeColor="accent4"/>
          <w:insideH w:val="nil"/>
          <w:insideV w:val="single" w:sz="8" w:space="0" w:color="FADA7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A7A" w:themeColor="accent4"/>
          <w:left w:val="single" w:sz="8" w:space="0" w:color="FADA7A" w:themeColor="accent4"/>
          <w:bottom w:val="single" w:sz="8" w:space="0" w:color="FADA7A" w:themeColor="accent4"/>
          <w:right w:val="single" w:sz="8" w:space="0" w:color="FADA7A" w:themeColor="accent4"/>
          <w:insideH w:val="nil"/>
          <w:insideV w:val="single" w:sz="8" w:space="0" w:color="FADA7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A7A" w:themeColor="accent4"/>
          <w:left w:val="single" w:sz="8" w:space="0" w:color="FADA7A" w:themeColor="accent4"/>
          <w:bottom w:val="single" w:sz="8" w:space="0" w:color="FADA7A" w:themeColor="accent4"/>
          <w:right w:val="single" w:sz="8" w:space="0" w:color="FADA7A" w:themeColor="accent4"/>
        </w:tcBorders>
      </w:tcPr>
    </w:tblStylePr>
    <w:tblStylePr w:type="band1Vert">
      <w:tblPr/>
      <w:tcPr>
        <w:tcBorders>
          <w:top w:val="single" w:sz="8" w:space="0" w:color="FADA7A" w:themeColor="accent4"/>
          <w:left w:val="single" w:sz="8" w:space="0" w:color="FADA7A" w:themeColor="accent4"/>
          <w:bottom w:val="single" w:sz="8" w:space="0" w:color="FADA7A" w:themeColor="accent4"/>
          <w:right w:val="single" w:sz="8" w:space="0" w:color="FADA7A" w:themeColor="accent4"/>
        </w:tcBorders>
        <w:shd w:val="clear" w:color="auto" w:fill="FDF5DD" w:themeFill="accent4" w:themeFillTint="3F"/>
      </w:tcPr>
    </w:tblStylePr>
    <w:tblStylePr w:type="band1Horz">
      <w:tblPr/>
      <w:tcPr>
        <w:tcBorders>
          <w:top w:val="single" w:sz="8" w:space="0" w:color="FADA7A" w:themeColor="accent4"/>
          <w:left w:val="single" w:sz="8" w:space="0" w:color="FADA7A" w:themeColor="accent4"/>
          <w:bottom w:val="single" w:sz="8" w:space="0" w:color="FADA7A" w:themeColor="accent4"/>
          <w:right w:val="single" w:sz="8" w:space="0" w:color="FADA7A" w:themeColor="accent4"/>
          <w:insideV w:val="single" w:sz="8" w:space="0" w:color="FADA7A" w:themeColor="accent4"/>
        </w:tcBorders>
        <w:shd w:val="clear" w:color="auto" w:fill="FDF5DD" w:themeFill="accent4" w:themeFillTint="3F"/>
      </w:tcPr>
    </w:tblStylePr>
    <w:tblStylePr w:type="band2Horz">
      <w:tblPr/>
      <w:tcPr>
        <w:tcBorders>
          <w:top w:val="single" w:sz="8" w:space="0" w:color="FADA7A" w:themeColor="accent4"/>
          <w:left w:val="single" w:sz="8" w:space="0" w:color="FADA7A" w:themeColor="accent4"/>
          <w:bottom w:val="single" w:sz="8" w:space="0" w:color="FADA7A" w:themeColor="accent4"/>
          <w:right w:val="single" w:sz="8" w:space="0" w:color="FADA7A" w:themeColor="accent4"/>
          <w:insideV w:val="single" w:sz="8" w:space="0" w:color="FADA7A" w:themeColor="accent4"/>
        </w:tcBorders>
      </w:tcPr>
    </w:tblStylePr>
  </w:style>
  <w:style w:type="table" w:customStyle="1" w:styleId="LightShading1">
    <w:name w:val="Light Shading1"/>
    <w:basedOn w:val="TableNormal"/>
    <w:uiPriority w:val="60"/>
    <w:rsid w:val="00B36E62"/>
    <w:rPr>
      <w:rFonts w:asciiTheme="minorHAnsi" w:eastAsia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semiHidden/>
    <w:unhideWhenUsed/>
    <w:rsid w:val="00A91F9C"/>
  </w:style>
  <w:style w:type="character" w:customStyle="1" w:styleId="CommentTextChar">
    <w:name w:val="Comment Text Char"/>
    <w:basedOn w:val="DefaultParagraphFont"/>
    <w:link w:val="CommentText"/>
    <w:uiPriority w:val="99"/>
    <w:semiHidden/>
    <w:rsid w:val="00A91F9C"/>
    <w:rPr>
      <w:rFonts w:ascii="Arial" w:hAnsi="Arial"/>
    </w:rPr>
  </w:style>
  <w:style w:type="character" w:styleId="CommentReference">
    <w:name w:val="annotation reference"/>
    <w:basedOn w:val="DefaultParagraphFont"/>
    <w:uiPriority w:val="99"/>
    <w:semiHidden/>
    <w:unhideWhenUsed/>
    <w:rsid w:val="00A91F9C"/>
    <w:rPr>
      <w:sz w:val="16"/>
      <w:szCs w:val="16"/>
    </w:rPr>
  </w:style>
  <w:style w:type="paragraph" w:styleId="FootnoteText">
    <w:name w:val="footnote text"/>
    <w:basedOn w:val="Normal"/>
    <w:link w:val="FootnoteTextChar"/>
    <w:uiPriority w:val="99"/>
    <w:semiHidden/>
    <w:unhideWhenUsed/>
    <w:rsid w:val="00FA0CD0"/>
  </w:style>
  <w:style w:type="character" w:customStyle="1" w:styleId="FootnoteTextChar">
    <w:name w:val="Footnote Text Char"/>
    <w:basedOn w:val="DefaultParagraphFont"/>
    <w:link w:val="FootnoteText"/>
    <w:uiPriority w:val="99"/>
    <w:semiHidden/>
    <w:rsid w:val="00FA0CD0"/>
    <w:rPr>
      <w:rFonts w:ascii="Arial" w:hAnsi="Arial"/>
    </w:rPr>
  </w:style>
  <w:style w:type="character" w:styleId="FootnoteReference">
    <w:name w:val="footnote reference"/>
    <w:basedOn w:val="DefaultParagraphFont"/>
    <w:uiPriority w:val="99"/>
    <w:semiHidden/>
    <w:unhideWhenUsed/>
    <w:rsid w:val="00FA0CD0"/>
    <w:rPr>
      <w:vertAlign w:val="superscript"/>
    </w:rPr>
  </w:style>
  <w:style w:type="paragraph" w:styleId="TOCHeading">
    <w:name w:val="TOC Heading"/>
    <w:basedOn w:val="Heading1"/>
    <w:next w:val="Normal"/>
    <w:uiPriority w:val="39"/>
    <w:unhideWhenUsed/>
    <w:qFormat/>
    <w:rsid w:val="00B3619E"/>
    <w:pPr>
      <w:outlineLvl w:val="9"/>
    </w:pPr>
  </w:style>
  <w:style w:type="paragraph" w:styleId="Revision">
    <w:name w:val="Revision"/>
    <w:hidden/>
    <w:uiPriority w:val="99"/>
    <w:semiHidden/>
    <w:rsid w:val="00505263"/>
    <w:rPr>
      <w:rFonts w:ascii="Arial" w:hAnsi="Arial"/>
    </w:rPr>
  </w:style>
  <w:style w:type="character" w:customStyle="1" w:styleId="FooterChar">
    <w:name w:val="Footer Char"/>
    <w:aliases w:val="f1 Char,f12 Char,f13 Char,f14 Char"/>
    <w:basedOn w:val="DefaultParagraphFont"/>
    <w:link w:val="Footer"/>
    <w:uiPriority w:val="99"/>
    <w:rsid w:val="003115B3"/>
    <w:rPr>
      <w:rFonts w:ascii="Arial" w:hAnsi="Arial"/>
    </w:rPr>
  </w:style>
  <w:style w:type="character" w:customStyle="1" w:styleId="st1">
    <w:name w:val="st1"/>
    <w:basedOn w:val="DefaultParagraphFont"/>
    <w:rsid w:val="00A410B7"/>
  </w:style>
  <w:style w:type="character" w:customStyle="1" w:styleId="HeaderChar">
    <w:name w:val="Header Char"/>
    <w:basedOn w:val="DefaultParagraphFont"/>
    <w:link w:val="Header"/>
    <w:uiPriority w:val="99"/>
    <w:rsid w:val="00A26A90"/>
  </w:style>
  <w:style w:type="table" w:customStyle="1" w:styleId="LightGrid-Accent12">
    <w:name w:val="Light Grid - Accent 12"/>
    <w:basedOn w:val="TableNormal"/>
    <w:uiPriority w:val="62"/>
    <w:rsid w:val="00834EF7"/>
    <w:tblPr>
      <w:tblStyleRowBandSize w:val="1"/>
      <w:tblStyleColBandSize w:val="1"/>
      <w:tblInd w:w="0" w:type="dxa"/>
      <w:tblBorders>
        <w:top w:val="single" w:sz="8" w:space="0" w:color="727CA3" w:themeColor="accent1"/>
        <w:left w:val="single" w:sz="8" w:space="0" w:color="727CA3" w:themeColor="accent1"/>
        <w:bottom w:val="single" w:sz="8" w:space="0" w:color="727CA3" w:themeColor="accent1"/>
        <w:right w:val="single" w:sz="8" w:space="0" w:color="727CA3" w:themeColor="accent1"/>
        <w:insideH w:val="single" w:sz="8" w:space="0" w:color="727CA3" w:themeColor="accent1"/>
        <w:insideV w:val="single" w:sz="8" w:space="0" w:color="727CA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18" w:space="0" w:color="727CA3" w:themeColor="accent1"/>
          <w:right w:val="single" w:sz="8" w:space="0" w:color="727CA3" w:themeColor="accent1"/>
          <w:insideH w:val="nil"/>
          <w:insideV w:val="single" w:sz="8" w:space="0" w:color="727CA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CA3" w:themeColor="accent1"/>
          <w:left w:val="single" w:sz="8" w:space="0" w:color="727CA3" w:themeColor="accent1"/>
          <w:bottom w:val="single" w:sz="8" w:space="0" w:color="727CA3" w:themeColor="accent1"/>
          <w:right w:val="single" w:sz="8" w:space="0" w:color="727CA3" w:themeColor="accent1"/>
          <w:insideH w:val="nil"/>
          <w:insideV w:val="single" w:sz="8" w:space="0" w:color="727CA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tcPr>
    </w:tblStylePr>
    <w:tblStylePr w:type="band1Vert">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shd w:val="clear" w:color="auto" w:fill="DCDEE8" w:themeFill="accent1" w:themeFillTint="3F"/>
      </w:tcPr>
    </w:tblStylePr>
    <w:tblStylePr w:type="band1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shd w:val="clear" w:color="auto" w:fill="DCDEE8" w:themeFill="accent1" w:themeFillTint="3F"/>
      </w:tcPr>
    </w:tblStylePr>
    <w:tblStylePr w:type="band2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tcPr>
    </w:tblStylePr>
  </w:style>
  <w:style w:type="character" w:customStyle="1" w:styleId="Heading1Char">
    <w:name w:val="Heading 1 Char"/>
    <w:basedOn w:val="DefaultParagraphFont"/>
    <w:link w:val="Heading1"/>
    <w:uiPriority w:val="9"/>
    <w:rsid w:val="00B3619E"/>
    <w:rPr>
      <w:rFonts w:eastAsiaTheme="majorEastAsia" w:cstheme="majorBidi"/>
      <w:caps/>
      <w:color w:val="3E5D78" w:themeColor="accent2" w:themeShade="80"/>
      <w:spacing w:val="20"/>
      <w:sz w:val="28"/>
      <w:szCs w:val="28"/>
    </w:rPr>
  </w:style>
  <w:style w:type="character" w:customStyle="1" w:styleId="Heading2Char">
    <w:name w:val="Heading 2 Char"/>
    <w:aliases w:val="H2 Char"/>
    <w:basedOn w:val="DefaultParagraphFont"/>
    <w:link w:val="Heading2"/>
    <w:uiPriority w:val="9"/>
    <w:rsid w:val="00D903CD"/>
    <w:rPr>
      <w:caps/>
      <w:color w:val="3E5D78" w:themeColor="accent2" w:themeShade="80"/>
      <w:spacing w:val="15"/>
      <w:kern w:val="24"/>
      <w:sz w:val="24"/>
      <w:szCs w:val="24"/>
    </w:rPr>
  </w:style>
  <w:style w:type="character" w:customStyle="1" w:styleId="Heading3Char">
    <w:name w:val="Heading 3 Char"/>
    <w:basedOn w:val="DefaultParagraphFont"/>
    <w:link w:val="Heading3"/>
    <w:uiPriority w:val="9"/>
    <w:rsid w:val="00B3619E"/>
    <w:rPr>
      <w:rFonts w:eastAsiaTheme="majorEastAsia" w:cstheme="majorBidi"/>
      <w:caps/>
      <w:color w:val="3E5C77" w:themeColor="accent2" w:themeShade="7F"/>
      <w:sz w:val="24"/>
      <w:szCs w:val="24"/>
    </w:rPr>
  </w:style>
  <w:style w:type="character" w:customStyle="1" w:styleId="Heading4Char">
    <w:name w:val="Heading 4 Char"/>
    <w:aliases w:val="Heading 4 Indented Char"/>
    <w:basedOn w:val="DefaultParagraphFont"/>
    <w:link w:val="Heading4"/>
    <w:uiPriority w:val="9"/>
    <w:rsid w:val="00B3619E"/>
    <w:rPr>
      <w:rFonts w:eastAsiaTheme="majorEastAsia" w:cstheme="majorBidi"/>
      <w:caps/>
      <w:color w:val="3E5C77" w:themeColor="accent2" w:themeShade="7F"/>
      <w:spacing w:val="10"/>
    </w:rPr>
  </w:style>
  <w:style w:type="character" w:customStyle="1" w:styleId="Heading5Char">
    <w:name w:val="Heading 5 Char"/>
    <w:basedOn w:val="DefaultParagraphFont"/>
    <w:link w:val="Heading5"/>
    <w:uiPriority w:val="9"/>
    <w:rsid w:val="00B3619E"/>
    <w:rPr>
      <w:rFonts w:eastAsiaTheme="majorEastAsia" w:cstheme="majorBidi"/>
      <w:caps/>
      <w:color w:val="3E5C77" w:themeColor="accent2" w:themeShade="7F"/>
      <w:spacing w:val="10"/>
    </w:rPr>
  </w:style>
  <w:style w:type="character" w:customStyle="1" w:styleId="Heading6Char">
    <w:name w:val="Heading 6 Char"/>
    <w:basedOn w:val="DefaultParagraphFont"/>
    <w:link w:val="Heading6"/>
    <w:uiPriority w:val="9"/>
    <w:rsid w:val="00B3619E"/>
    <w:rPr>
      <w:rFonts w:eastAsiaTheme="majorEastAsia" w:cstheme="majorBidi"/>
      <w:caps/>
      <w:color w:val="628BAD" w:themeColor="accent2" w:themeShade="BF"/>
      <w:spacing w:val="10"/>
    </w:rPr>
  </w:style>
  <w:style w:type="character" w:customStyle="1" w:styleId="Heading7Char">
    <w:name w:val="Heading 7 Char"/>
    <w:basedOn w:val="DefaultParagraphFont"/>
    <w:link w:val="Heading7"/>
    <w:uiPriority w:val="9"/>
    <w:rsid w:val="00B3619E"/>
    <w:rPr>
      <w:rFonts w:eastAsiaTheme="majorEastAsia" w:cstheme="majorBidi"/>
      <w:i/>
      <w:iCs/>
      <w:caps/>
      <w:color w:val="628BAD" w:themeColor="accent2" w:themeShade="BF"/>
      <w:spacing w:val="10"/>
    </w:rPr>
  </w:style>
  <w:style w:type="character" w:customStyle="1" w:styleId="Heading8Char">
    <w:name w:val="Heading 8 Char"/>
    <w:basedOn w:val="DefaultParagraphFont"/>
    <w:link w:val="Heading8"/>
    <w:uiPriority w:val="9"/>
    <w:rsid w:val="00B3619E"/>
    <w:rPr>
      <w:rFonts w:eastAsiaTheme="majorEastAsia" w:cstheme="majorBidi"/>
      <w:caps/>
      <w:spacing w:val="10"/>
      <w:sz w:val="20"/>
      <w:szCs w:val="20"/>
    </w:rPr>
  </w:style>
  <w:style w:type="character" w:customStyle="1" w:styleId="Heading9Char">
    <w:name w:val="Heading 9 Char"/>
    <w:basedOn w:val="DefaultParagraphFont"/>
    <w:link w:val="Heading9"/>
    <w:uiPriority w:val="9"/>
    <w:rsid w:val="00B3619E"/>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3619E"/>
    <w:rPr>
      <w:caps/>
      <w:spacing w:val="10"/>
      <w:sz w:val="18"/>
      <w:szCs w:val="18"/>
    </w:rPr>
  </w:style>
  <w:style w:type="character" w:customStyle="1" w:styleId="TitleChar">
    <w:name w:val="Title Char"/>
    <w:basedOn w:val="DefaultParagraphFont"/>
    <w:link w:val="Title"/>
    <w:uiPriority w:val="10"/>
    <w:rsid w:val="00B3619E"/>
    <w:rPr>
      <w:rFonts w:eastAsiaTheme="majorEastAsia" w:cstheme="majorBidi"/>
      <w:caps/>
      <w:color w:val="3E5D78" w:themeColor="accent2" w:themeShade="80"/>
      <w:spacing w:val="50"/>
      <w:sz w:val="44"/>
      <w:szCs w:val="44"/>
    </w:rPr>
  </w:style>
  <w:style w:type="paragraph" w:styleId="Subtitle">
    <w:name w:val="Subtitle"/>
    <w:basedOn w:val="Normal"/>
    <w:next w:val="Normal"/>
    <w:link w:val="SubtitleChar"/>
    <w:uiPriority w:val="11"/>
    <w:qFormat/>
    <w:rsid w:val="00B3619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3619E"/>
    <w:rPr>
      <w:rFonts w:eastAsiaTheme="majorEastAsia" w:cstheme="majorBidi"/>
      <w:caps/>
      <w:spacing w:val="20"/>
      <w:sz w:val="18"/>
      <w:szCs w:val="18"/>
    </w:rPr>
  </w:style>
  <w:style w:type="character" w:styleId="Emphasis">
    <w:name w:val="Emphasis"/>
    <w:uiPriority w:val="20"/>
    <w:qFormat/>
    <w:rsid w:val="00B3619E"/>
    <w:rPr>
      <w:caps/>
      <w:spacing w:val="5"/>
      <w:sz w:val="20"/>
      <w:szCs w:val="20"/>
    </w:rPr>
  </w:style>
  <w:style w:type="paragraph" w:styleId="NoSpacing">
    <w:name w:val="No Spacing"/>
    <w:basedOn w:val="Normal"/>
    <w:link w:val="NoSpacingChar"/>
    <w:uiPriority w:val="1"/>
    <w:qFormat/>
    <w:rsid w:val="00B3619E"/>
    <w:pPr>
      <w:spacing w:after="0" w:line="240" w:lineRule="auto"/>
    </w:pPr>
  </w:style>
  <w:style w:type="character" w:customStyle="1" w:styleId="NoSpacingChar">
    <w:name w:val="No Spacing Char"/>
    <w:basedOn w:val="DefaultParagraphFont"/>
    <w:link w:val="NoSpacing"/>
    <w:uiPriority w:val="1"/>
    <w:rsid w:val="00B3619E"/>
  </w:style>
  <w:style w:type="paragraph" w:styleId="Quote">
    <w:name w:val="Quote"/>
    <w:basedOn w:val="Normal"/>
    <w:next w:val="Normal"/>
    <w:link w:val="QuoteChar"/>
    <w:uiPriority w:val="29"/>
    <w:qFormat/>
    <w:rsid w:val="00B3619E"/>
    <w:rPr>
      <w:i/>
      <w:iCs/>
    </w:rPr>
  </w:style>
  <w:style w:type="character" w:customStyle="1" w:styleId="QuoteChar">
    <w:name w:val="Quote Char"/>
    <w:basedOn w:val="DefaultParagraphFont"/>
    <w:link w:val="Quote"/>
    <w:uiPriority w:val="29"/>
    <w:rsid w:val="00B3619E"/>
    <w:rPr>
      <w:rFonts w:eastAsiaTheme="majorEastAsia" w:cstheme="majorBidi"/>
      <w:i/>
      <w:iCs/>
    </w:rPr>
  </w:style>
  <w:style w:type="paragraph" w:styleId="IntenseQuote">
    <w:name w:val="Intense Quote"/>
    <w:basedOn w:val="Normal"/>
    <w:next w:val="Normal"/>
    <w:link w:val="IntenseQuoteChar"/>
    <w:uiPriority w:val="30"/>
    <w:qFormat/>
    <w:rsid w:val="00B3619E"/>
    <w:pPr>
      <w:pBdr>
        <w:top w:val="dotted" w:sz="2" w:space="10" w:color="3E5D78" w:themeColor="accent2" w:themeShade="80"/>
        <w:bottom w:val="dotted" w:sz="2" w:space="4" w:color="3E5D78" w:themeColor="accent2" w:themeShade="80"/>
      </w:pBdr>
      <w:spacing w:before="160" w:line="300" w:lineRule="auto"/>
      <w:ind w:left="1440" w:right="1440"/>
    </w:pPr>
    <w:rPr>
      <w:caps/>
      <w:color w:val="3E5C77" w:themeColor="accent2" w:themeShade="7F"/>
      <w:spacing w:val="5"/>
      <w:sz w:val="20"/>
      <w:szCs w:val="20"/>
    </w:rPr>
  </w:style>
  <w:style w:type="character" w:customStyle="1" w:styleId="IntenseQuoteChar">
    <w:name w:val="Intense Quote Char"/>
    <w:basedOn w:val="DefaultParagraphFont"/>
    <w:link w:val="IntenseQuote"/>
    <w:uiPriority w:val="30"/>
    <w:rsid w:val="00B3619E"/>
    <w:rPr>
      <w:rFonts w:eastAsiaTheme="majorEastAsia" w:cstheme="majorBidi"/>
      <w:caps/>
      <w:color w:val="3E5C77" w:themeColor="accent2" w:themeShade="7F"/>
      <w:spacing w:val="5"/>
      <w:sz w:val="20"/>
      <w:szCs w:val="20"/>
    </w:rPr>
  </w:style>
  <w:style w:type="character" w:styleId="SubtleEmphasis">
    <w:name w:val="Subtle Emphasis"/>
    <w:uiPriority w:val="19"/>
    <w:qFormat/>
    <w:rsid w:val="00B3619E"/>
    <w:rPr>
      <w:i/>
      <w:iCs/>
    </w:rPr>
  </w:style>
  <w:style w:type="character" w:styleId="IntenseEmphasis">
    <w:name w:val="Intense Emphasis"/>
    <w:uiPriority w:val="21"/>
    <w:qFormat/>
    <w:rsid w:val="00B3619E"/>
    <w:rPr>
      <w:i/>
      <w:iCs/>
      <w:caps/>
      <w:spacing w:val="10"/>
      <w:sz w:val="20"/>
      <w:szCs w:val="20"/>
    </w:rPr>
  </w:style>
  <w:style w:type="character" w:styleId="SubtleReference">
    <w:name w:val="Subtle Reference"/>
    <w:basedOn w:val="DefaultParagraphFont"/>
    <w:uiPriority w:val="31"/>
    <w:qFormat/>
    <w:rsid w:val="00B3619E"/>
    <w:rPr>
      <w:rFonts w:asciiTheme="minorHAnsi" w:eastAsiaTheme="minorEastAsia" w:hAnsiTheme="minorHAnsi" w:cstheme="minorBidi"/>
      <w:i/>
      <w:iCs/>
      <w:color w:val="3E5C77" w:themeColor="accent2" w:themeShade="7F"/>
    </w:rPr>
  </w:style>
  <w:style w:type="character" w:styleId="IntenseReference">
    <w:name w:val="Intense Reference"/>
    <w:uiPriority w:val="32"/>
    <w:qFormat/>
    <w:rsid w:val="00B3619E"/>
    <w:rPr>
      <w:rFonts w:asciiTheme="minorHAnsi" w:eastAsiaTheme="minorEastAsia" w:hAnsiTheme="minorHAnsi" w:cstheme="minorBidi"/>
      <w:b/>
      <w:bCs/>
      <w:i/>
      <w:iCs/>
      <w:color w:val="3E5C77" w:themeColor="accent2" w:themeShade="7F"/>
    </w:rPr>
  </w:style>
  <w:style w:type="character" w:styleId="BookTitle">
    <w:name w:val="Book Title"/>
    <w:uiPriority w:val="33"/>
    <w:qFormat/>
    <w:rsid w:val="00B3619E"/>
    <w:rPr>
      <w:caps/>
      <w:color w:val="3E5C77" w:themeColor="accent2" w:themeShade="7F"/>
      <w:spacing w:val="5"/>
      <w:u w:color="3E5C77" w:themeColor="accent2" w:themeShade="7F"/>
    </w:rPr>
  </w:style>
  <w:style w:type="table" w:customStyle="1" w:styleId="LightGrid-Accent13">
    <w:name w:val="Light Grid - Accent 13"/>
    <w:basedOn w:val="TableNormal"/>
    <w:uiPriority w:val="62"/>
    <w:rsid w:val="00CB20C6"/>
    <w:pPr>
      <w:spacing w:after="0" w:line="240" w:lineRule="auto"/>
      <w:jc w:val="both"/>
    </w:pPr>
    <w:rPr>
      <w:rFonts w:asciiTheme="minorHAnsi" w:eastAsiaTheme="minorHAnsi" w:hAnsiTheme="minorHAnsi" w:cstheme="minorBidi"/>
      <w:lang w:bidi="ar-SA"/>
    </w:rPr>
    <w:tblPr>
      <w:tblStyleRowBandSize w:val="1"/>
      <w:tblStyleColBandSize w:val="1"/>
      <w:tblInd w:w="0" w:type="dxa"/>
      <w:tblBorders>
        <w:top w:val="single" w:sz="8" w:space="0" w:color="727CA3" w:themeColor="accent1"/>
        <w:left w:val="single" w:sz="8" w:space="0" w:color="727CA3" w:themeColor="accent1"/>
        <w:bottom w:val="single" w:sz="8" w:space="0" w:color="727CA3" w:themeColor="accent1"/>
        <w:right w:val="single" w:sz="8" w:space="0" w:color="727CA3" w:themeColor="accent1"/>
        <w:insideH w:val="single" w:sz="8" w:space="0" w:color="727CA3" w:themeColor="accent1"/>
        <w:insideV w:val="single" w:sz="8" w:space="0" w:color="727CA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18" w:space="0" w:color="727CA3" w:themeColor="accent1"/>
          <w:right w:val="single" w:sz="8" w:space="0" w:color="727CA3" w:themeColor="accent1"/>
          <w:insideH w:val="nil"/>
          <w:insideV w:val="single" w:sz="8" w:space="0" w:color="727CA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CA3" w:themeColor="accent1"/>
          <w:left w:val="single" w:sz="8" w:space="0" w:color="727CA3" w:themeColor="accent1"/>
          <w:bottom w:val="single" w:sz="8" w:space="0" w:color="727CA3" w:themeColor="accent1"/>
          <w:right w:val="single" w:sz="8" w:space="0" w:color="727CA3" w:themeColor="accent1"/>
          <w:insideH w:val="nil"/>
          <w:insideV w:val="single" w:sz="8" w:space="0" w:color="727CA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tcPr>
    </w:tblStylePr>
    <w:tblStylePr w:type="band1Vert">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shd w:val="clear" w:color="auto" w:fill="DCDEE8" w:themeFill="accent1" w:themeFillTint="3F"/>
      </w:tcPr>
    </w:tblStylePr>
    <w:tblStylePr w:type="band1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shd w:val="clear" w:color="auto" w:fill="DCDEE8" w:themeFill="accent1" w:themeFillTint="3F"/>
      </w:tcPr>
    </w:tblStylePr>
    <w:tblStylePr w:type="band2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tcPr>
    </w:tblStylePr>
  </w:style>
  <w:style w:type="paragraph" w:styleId="EndnoteText">
    <w:name w:val="endnote text"/>
    <w:basedOn w:val="Normal"/>
    <w:link w:val="EndnoteTextChar"/>
    <w:uiPriority w:val="99"/>
    <w:unhideWhenUsed/>
    <w:rsid w:val="00AB2D03"/>
    <w:pPr>
      <w:spacing w:after="0" w:line="240" w:lineRule="auto"/>
    </w:pPr>
    <w:rPr>
      <w:sz w:val="20"/>
      <w:szCs w:val="20"/>
    </w:rPr>
  </w:style>
  <w:style w:type="character" w:customStyle="1" w:styleId="EndnoteTextChar">
    <w:name w:val="Endnote Text Char"/>
    <w:basedOn w:val="DefaultParagraphFont"/>
    <w:link w:val="EndnoteText"/>
    <w:uiPriority w:val="99"/>
    <w:rsid w:val="00AB2D03"/>
    <w:rPr>
      <w:sz w:val="20"/>
      <w:szCs w:val="20"/>
    </w:rPr>
  </w:style>
  <w:style w:type="character" w:styleId="EndnoteReference">
    <w:name w:val="endnote reference"/>
    <w:basedOn w:val="DefaultParagraphFont"/>
    <w:uiPriority w:val="99"/>
    <w:semiHidden/>
    <w:unhideWhenUsed/>
    <w:rsid w:val="00AB2D03"/>
    <w:rPr>
      <w:vertAlign w:val="superscript"/>
    </w:rPr>
  </w:style>
  <w:style w:type="paragraph" w:styleId="CommentSubject">
    <w:name w:val="annotation subject"/>
    <w:basedOn w:val="CommentText"/>
    <w:next w:val="CommentText"/>
    <w:link w:val="CommentSubjectChar"/>
    <w:uiPriority w:val="99"/>
    <w:semiHidden/>
    <w:unhideWhenUsed/>
    <w:rsid w:val="00122AB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122AB9"/>
    <w:rPr>
      <w:rFonts w:ascii="Arial" w:hAnsi="Arial"/>
      <w:b/>
      <w:bCs/>
      <w:sz w:val="20"/>
      <w:szCs w:val="20"/>
    </w:rPr>
  </w:style>
  <w:style w:type="paragraph" w:customStyle="1" w:styleId="Default">
    <w:name w:val="Default"/>
    <w:rsid w:val="008E10E1"/>
    <w:pPr>
      <w:widowControl w:val="0"/>
      <w:autoSpaceDE w:val="0"/>
      <w:autoSpaceDN w:val="0"/>
      <w:adjustRightInd w:val="0"/>
      <w:spacing w:after="0" w:line="240" w:lineRule="auto"/>
    </w:pPr>
    <w:rPr>
      <w:rFonts w:ascii="Arial" w:hAnsi="Arial" w:cs="Arial"/>
      <w:color w:val="000000"/>
      <w:sz w:val="24"/>
      <w:szCs w:val="24"/>
      <w:lang w:bidi="ar-SA"/>
    </w:rPr>
  </w:style>
  <w:style w:type="table" w:customStyle="1" w:styleId="LightList1">
    <w:name w:val="Light List1"/>
    <w:basedOn w:val="TableNormal"/>
    <w:uiPriority w:val="61"/>
    <w:rsid w:val="00306F7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phy">
    <w:name w:val="Bibliography"/>
    <w:basedOn w:val="Normal"/>
    <w:next w:val="Normal"/>
    <w:uiPriority w:val="37"/>
    <w:semiHidden/>
    <w:unhideWhenUsed/>
    <w:rsid w:val="00FD7D34"/>
  </w:style>
  <w:style w:type="paragraph" w:styleId="BlockText">
    <w:name w:val="Block Text"/>
    <w:basedOn w:val="Normal"/>
    <w:uiPriority w:val="99"/>
    <w:semiHidden/>
    <w:unhideWhenUsed/>
    <w:rsid w:val="00FD7D34"/>
    <w:pPr>
      <w:pBdr>
        <w:top w:val="single" w:sz="2" w:space="10" w:color="727CA3" w:themeColor="accent1" w:frame="1"/>
        <w:left w:val="single" w:sz="2" w:space="10" w:color="727CA3" w:themeColor="accent1" w:frame="1"/>
        <w:bottom w:val="single" w:sz="2" w:space="10" w:color="727CA3" w:themeColor="accent1" w:frame="1"/>
        <w:right w:val="single" w:sz="2" w:space="10" w:color="727CA3" w:themeColor="accent1" w:frame="1"/>
      </w:pBdr>
      <w:ind w:left="1152" w:right="1152"/>
    </w:pPr>
    <w:rPr>
      <w:rFonts w:asciiTheme="minorHAnsi" w:eastAsiaTheme="minorEastAsia" w:hAnsiTheme="minorHAnsi" w:cstheme="minorBidi"/>
      <w:i/>
      <w:iCs/>
      <w:color w:val="727CA3" w:themeColor="accent1"/>
    </w:rPr>
  </w:style>
  <w:style w:type="paragraph" w:styleId="BodyText3">
    <w:name w:val="Body Text 3"/>
    <w:basedOn w:val="Normal"/>
    <w:link w:val="BodyText3Char"/>
    <w:uiPriority w:val="99"/>
    <w:semiHidden/>
    <w:unhideWhenUsed/>
    <w:rsid w:val="00FD7D34"/>
    <w:pPr>
      <w:spacing w:after="120"/>
    </w:pPr>
    <w:rPr>
      <w:sz w:val="16"/>
      <w:szCs w:val="16"/>
    </w:rPr>
  </w:style>
  <w:style w:type="character" w:customStyle="1" w:styleId="BodyText3Char">
    <w:name w:val="Body Text 3 Char"/>
    <w:basedOn w:val="DefaultParagraphFont"/>
    <w:link w:val="BodyText3"/>
    <w:uiPriority w:val="99"/>
    <w:semiHidden/>
    <w:rsid w:val="00FD7D34"/>
    <w:rPr>
      <w:sz w:val="16"/>
      <w:szCs w:val="16"/>
    </w:rPr>
  </w:style>
  <w:style w:type="paragraph" w:styleId="BodyTextFirstIndent">
    <w:name w:val="Body Text First Indent"/>
    <w:basedOn w:val="BodyText"/>
    <w:link w:val="BodyTextFirstIndentChar"/>
    <w:uiPriority w:val="99"/>
    <w:semiHidden/>
    <w:unhideWhenUsed/>
    <w:rsid w:val="00FD7D34"/>
    <w:pPr>
      <w:spacing w:before="0" w:after="200"/>
      <w:ind w:firstLine="360"/>
    </w:pPr>
    <w:rPr>
      <w:rFonts w:asciiTheme="majorHAnsi" w:hAnsiTheme="majorHAnsi"/>
    </w:rPr>
  </w:style>
  <w:style w:type="character" w:customStyle="1" w:styleId="BodyTextFirstIndentChar">
    <w:name w:val="Body Text First Indent Char"/>
    <w:basedOn w:val="BodyTextChar1"/>
    <w:link w:val="BodyTextFirstIndent"/>
    <w:uiPriority w:val="99"/>
    <w:semiHidden/>
    <w:rsid w:val="00FD7D34"/>
    <w:rPr>
      <w:sz w:val="22"/>
      <w:lang w:val="en-US" w:eastAsia="en-US" w:bidi="ar-SA"/>
    </w:rPr>
  </w:style>
  <w:style w:type="paragraph" w:styleId="BodyTextFirstIndent2">
    <w:name w:val="Body Text First Indent 2"/>
    <w:basedOn w:val="BodyTextIndent"/>
    <w:link w:val="BodyTextFirstIndent2Char"/>
    <w:uiPriority w:val="99"/>
    <w:semiHidden/>
    <w:unhideWhenUsed/>
    <w:rsid w:val="00FD7D34"/>
    <w:pPr>
      <w:ind w:left="360" w:firstLine="360"/>
    </w:pPr>
    <w:rPr>
      <w:rFonts w:asciiTheme="majorHAnsi" w:hAnsiTheme="majorHAnsi"/>
      <w:snapToGrid/>
      <w:color w:val="auto"/>
    </w:rPr>
  </w:style>
  <w:style w:type="character" w:customStyle="1" w:styleId="BodyTextIndentChar">
    <w:name w:val="Body Text Indent Char"/>
    <w:basedOn w:val="DefaultParagraphFont"/>
    <w:link w:val="BodyTextIndent"/>
    <w:rsid w:val="00FD7D34"/>
    <w:rPr>
      <w:rFonts w:ascii="Courier New" w:hAnsi="Courier New"/>
      <w:snapToGrid w:val="0"/>
      <w:color w:val="000000"/>
    </w:rPr>
  </w:style>
  <w:style w:type="character" w:customStyle="1" w:styleId="BodyTextFirstIndent2Char">
    <w:name w:val="Body Text First Indent 2 Char"/>
    <w:basedOn w:val="BodyTextIndentChar"/>
    <w:link w:val="BodyTextFirstIndent2"/>
    <w:rsid w:val="00FD7D34"/>
    <w:rPr>
      <w:rFonts w:ascii="Courier New" w:hAnsi="Courier New"/>
      <w:snapToGrid w:val="0"/>
      <w:color w:val="000000"/>
    </w:rPr>
  </w:style>
  <w:style w:type="paragraph" w:styleId="BodyTextIndent2">
    <w:name w:val="Body Text Indent 2"/>
    <w:basedOn w:val="Normal"/>
    <w:link w:val="BodyTextIndent2Char"/>
    <w:uiPriority w:val="99"/>
    <w:semiHidden/>
    <w:unhideWhenUsed/>
    <w:rsid w:val="00FD7D34"/>
    <w:pPr>
      <w:spacing w:after="120" w:line="480" w:lineRule="auto"/>
      <w:ind w:left="360"/>
    </w:pPr>
  </w:style>
  <w:style w:type="character" w:customStyle="1" w:styleId="BodyTextIndent2Char">
    <w:name w:val="Body Text Indent 2 Char"/>
    <w:basedOn w:val="DefaultParagraphFont"/>
    <w:link w:val="BodyTextIndent2"/>
    <w:uiPriority w:val="99"/>
    <w:semiHidden/>
    <w:rsid w:val="00FD7D34"/>
  </w:style>
  <w:style w:type="paragraph" w:styleId="BodyTextIndent3">
    <w:name w:val="Body Text Indent 3"/>
    <w:basedOn w:val="Normal"/>
    <w:link w:val="BodyTextIndent3Char"/>
    <w:uiPriority w:val="99"/>
    <w:semiHidden/>
    <w:unhideWhenUsed/>
    <w:rsid w:val="00FD7D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7D34"/>
    <w:rPr>
      <w:sz w:val="16"/>
      <w:szCs w:val="16"/>
    </w:rPr>
  </w:style>
  <w:style w:type="paragraph" w:styleId="Closing">
    <w:name w:val="Closing"/>
    <w:basedOn w:val="Normal"/>
    <w:link w:val="ClosingChar"/>
    <w:uiPriority w:val="99"/>
    <w:semiHidden/>
    <w:unhideWhenUsed/>
    <w:rsid w:val="00FD7D34"/>
    <w:pPr>
      <w:spacing w:after="0" w:line="240" w:lineRule="auto"/>
      <w:ind w:left="4320"/>
    </w:pPr>
  </w:style>
  <w:style w:type="character" w:customStyle="1" w:styleId="ClosingChar">
    <w:name w:val="Closing Char"/>
    <w:basedOn w:val="DefaultParagraphFont"/>
    <w:link w:val="Closing"/>
    <w:uiPriority w:val="99"/>
    <w:semiHidden/>
    <w:rsid w:val="00FD7D34"/>
  </w:style>
  <w:style w:type="paragraph" w:styleId="Date">
    <w:name w:val="Date"/>
    <w:basedOn w:val="Normal"/>
    <w:next w:val="Normal"/>
    <w:link w:val="DateChar"/>
    <w:uiPriority w:val="99"/>
    <w:semiHidden/>
    <w:unhideWhenUsed/>
    <w:rsid w:val="00FD7D34"/>
  </w:style>
  <w:style w:type="character" w:customStyle="1" w:styleId="DateChar">
    <w:name w:val="Date Char"/>
    <w:basedOn w:val="DefaultParagraphFont"/>
    <w:link w:val="Date"/>
    <w:uiPriority w:val="99"/>
    <w:semiHidden/>
    <w:rsid w:val="00FD7D34"/>
  </w:style>
  <w:style w:type="paragraph" w:styleId="E-mailSignature">
    <w:name w:val="E-mail Signature"/>
    <w:basedOn w:val="Normal"/>
    <w:link w:val="E-mailSignatureChar"/>
    <w:uiPriority w:val="99"/>
    <w:semiHidden/>
    <w:unhideWhenUsed/>
    <w:rsid w:val="00FD7D34"/>
    <w:pPr>
      <w:spacing w:after="0" w:line="240" w:lineRule="auto"/>
    </w:pPr>
  </w:style>
  <w:style w:type="character" w:customStyle="1" w:styleId="E-mailSignatureChar">
    <w:name w:val="E-mail Signature Char"/>
    <w:basedOn w:val="DefaultParagraphFont"/>
    <w:link w:val="E-mailSignature"/>
    <w:uiPriority w:val="99"/>
    <w:semiHidden/>
    <w:rsid w:val="00FD7D34"/>
  </w:style>
  <w:style w:type="paragraph" w:styleId="EnvelopeAddress">
    <w:name w:val="envelope address"/>
    <w:basedOn w:val="Normal"/>
    <w:uiPriority w:val="99"/>
    <w:semiHidden/>
    <w:unhideWhenUsed/>
    <w:rsid w:val="00FD7D34"/>
    <w:pPr>
      <w:framePr w:w="7920" w:h="1980" w:hRule="exact" w:hSpace="180" w:wrap="auto" w:hAnchor="page" w:xAlign="center" w:yAlign="bottom"/>
      <w:spacing w:after="0" w:line="240" w:lineRule="auto"/>
      <w:ind w:left="2880"/>
    </w:pPr>
    <w:rPr>
      <w:sz w:val="24"/>
      <w:szCs w:val="24"/>
    </w:rPr>
  </w:style>
  <w:style w:type="paragraph" w:styleId="EnvelopeReturn">
    <w:name w:val="envelope return"/>
    <w:basedOn w:val="Normal"/>
    <w:uiPriority w:val="99"/>
    <w:semiHidden/>
    <w:unhideWhenUsed/>
    <w:rsid w:val="00FD7D34"/>
    <w:pPr>
      <w:spacing w:after="0" w:line="240" w:lineRule="auto"/>
    </w:pPr>
    <w:rPr>
      <w:sz w:val="20"/>
      <w:szCs w:val="20"/>
    </w:rPr>
  </w:style>
  <w:style w:type="paragraph" w:styleId="HTMLAddress">
    <w:name w:val="HTML Address"/>
    <w:basedOn w:val="Normal"/>
    <w:link w:val="HTMLAddressChar"/>
    <w:uiPriority w:val="99"/>
    <w:semiHidden/>
    <w:unhideWhenUsed/>
    <w:rsid w:val="00FD7D34"/>
    <w:pPr>
      <w:spacing w:after="0" w:line="240" w:lineRule="auto"/>
    </w:pPr>
    <w:rPr>
      <w:i/>
      <w:iCs/>
    </w:rPr>
  </w:style>
  <w:style w:type="character" w:customStyle="1" w:styleId="HTMLAddressChar">
    <w:name w:val="HTML Address Char"/>
    <w:basedOn w:val="DefaultParagraphFont"/>
    <w:link w:val="HTMLAddress"/>
    <w:uiPriority w:val="99"/>
    <w:semiHidden/>
    <w:rsid w:val="00FD7D34"/>
    <w:rPr>
      <w:i/>
      <w:iCs/>
    </w:rPr>
  </w:style>
  <w:style w:type="paragraph" w:styleId="HTMLPreformatted">
    <w:name w:val="HTML Preformatted"/>
    <w:basedOn w:val="Normal"/>
    <w:link w:val="HTMLPreformattedChar"/>
    <w:uiPriority w:val="99"/>
    <w:semiHidden/>
    <w:unhideWhenUsed/>
    <w:rsid w:val="00FD7D3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7D34"/>
    <w:rPr>
      <w:rFonts w:ascii="Consolas" w:hAnsi="Consolas" w:cs="Consolas"/>
      <w:sz w:val="20"/>
      <w:szCs w:val="20"/>
    </w:rPr>
  </w:style>
  <w:style w:type="paragraph" w:styleId="Index1">
    <w:name w:val="index 1"/>
    <w:basedOn w:val="Normal"/>
    <w:next w:val="Normal"/>
    <w:autoRedefine/>
    <w:uiPriority w:val="99"/>
    <w:semiHidden/>
    <w:unhideWhenUsed/>
    <w:rsid w:val="00FD7D34"/>
    <w:pPr>
      <w:spacing w:after="0" w:line="240" w:lineRule="auto"/>
      <w:ind w:left="220" w:hanging="220"/>
    </w:pPr>
  </w:style>
  <w:style w:type="paragraph" w:styleId="Index2">
    <w:name w:val="index 2"/>
    <w:basedOn w:val="Normal"/>
    <w:next w:val="Normal"/>
    <w:autoRedefine/>
    <w:uiPriority w:val="99"/>
    <w:semiHidden/>
    <w:unhideWhenUsed/>
    <w:rsid w:val="00FD7D34"/>
    <w:pPr>
      <w:spacing w:after="0" w:line="240" w:lineRule="auto"/>
      <w:ind w:left="440" w:hanging="220"/>
    </w:pPr>
  </w:style>
  <w:style w:type="paragraph" w:styleId="Index3">
    <w:name w:val="index 3"/>
    <w:basedOn w:val="Normal"/>
    <w:next w:val="Normal"/>
    <w:autoRedefine/>
    <w:uiPriority w:val="99"/>
    <w:semiHidden/>
    <w:unhideWhenUsed/>
    <w:rsid w:val="00FD7D34"/>
    <w:pPr>
      <w:spacing w:after="0" w:line="240" w:lineRule="auto"/>
      <w:ind w:left="660" w:hanging="220"/>
    </w:pPr>
  </w:style>
  <w:style w:type="paragraph" w:styleId="Index4">
    <w:name w:val="index 4"/>
    <w:basedOn w:val="Normal"/>
    <w:next w:val="Normal"/>
    <w:autoRedefine/>
    <w:uiPriority w:val="99"/>
    <w:semiHidden/>
    <w:unhideWhenUsed/>
    <w:rsid w:val="00FD7D34"/>
    <w:pPr>
      <w:spacing w:after="0" w:line="240" w:lineRule="auto"/>
      <w:ind w:left="880" w:hanging="220"/>
    </w:pPr>
  </w:style>
  <w:style w:type="paragraph" w:styleId="Index5">
    <w:name w:val="index 5"/>
    <w:basedOn w:val="Normal"/>
    <w:next w:val="Normal"/>
    <w:autoRedefine/>
    <w:uiPriority w:val="99"/>
    <w:semiHidden/>
    <w:unhideWhenUsed/>
    <w:rsid w:val="00FD7D34"/>
    <w:pPr>
      <w:spacing w:after="0" w:line="240" w:lineRule="auto"/>
      <w:ind w:left="1100" w:hanging="220"/>
    </w:pPr>
  </w:style>
  <w:style w:type="paragraph" w:styleId="Index6">
    <w:name w:val="index 6"/>
    <w:basedOn w:val="Normal"/>
    <w:next w:val="Normal"/>
    <w:autoRedefine/>
    <w:uiPriority w:val="99"/>
    <w:semiHidden/>
    <w:unhideWhenUsed/>
    <w:rsid w:val="00FD7D34"/>
    <w:pPr>
      <w:spacing w:after="0" w:line="240" w:lineRule="auto"/>
      <w:ind w:left="1320" w:hanging="220"/>
    </w:pPr>
  </w:style>
  <w:style w:type="paragraph" w:styleId="Index7">
    <w:name w:val="index 7"/>
    <w:basedOn w:val="Normal"/>
    <w:next w:val="Normal"/>
    <w:autoRedefine/>
    <w:uiPriority w:val="99"/>
    <w:semiHidden/>
    <w:unhideWhenUsed/>
    <w:rsid w:val="00FD7D34"/>
    <w:pPr>
      <w:spacing w:after="0" w:line="240" w:lineRule="auto"/>
      <w:ind w:left="1540" w:hanging="220"/>
    </w:pPr>
  </w:style>
  <w:style w:type="paragraph" w:styleId="Index8">
    <w:name w:val="index 8"/>
    <w:basedOn w:val="Normal"/>
    <w:next w:val="Normal"/>
    <w:autoRedefine/>
    <w:uiPriority w:val="99"/>
    <w:semiHidden/>
    <w:unhideWhenUsed/>
    <w:rsid w:val="00FD7D34"/>
    <w:pPr>
      <w:spacing w:after="0" w:line="240" w:lineRule="auto"/>
      <w:ind w:left="1760" w:hanging="220"/>
    </w:pPr>
  </w:style>
  <w:style w:type="paragraph" w:styleId="Index9">
    <w:name w:val="index 9"/>
    <w:basedOn w:val="Normal"/>
    <w:next w:val="Normal"/>
    <w:autoRedefine/>
    <w:uiPriority w:val="99"/>
    <w:semiHidden/>
    <w:unhideWhenUsed/>
    <w:rsid w:val="00FD7D34"/>
    <w:pPr>
      <w:spacing w:after="0" w:line="240" w:lineRule="auto"/>
      <w:ind w:left="1980" w:hanging="220"/>
    </w:pPr>
  </w:style>
  <w:style w:type="paragraph" w:styleId="IndexHeading">
    <w:name w:val="index heading"/>
    <w:basedOn w:val="Normal"/>
    <w:next w:val="Index1"/>
    <w:uiPriority w:val="99"/>
    <w:semiHidden/>
    <w:unhideWhenUsed/>
    <w:rsid w:val="00FD7D34"/>
    <w:rPr>
      <w:b/>
      <w:bCs/>
    </w:rPr>
  </w:style>
  <w:style w:type="paragraph" w:styleId="List">
    <w:name w:val="List"/>
    <w:basedOn w:val="Normal"/>
    <w:uiPriority w:val="99"/>
    <w:semiHidden/>
    <w:unhideWhenUsed/>
    <w:rsid w:val="00FD7D34"/>
    <w:pPr>
      <w:ind w:left="360" w:hanging="360"/>
      <w:contextualSpacing/>
    </w:pPr>
  </w:style>
  <w:style w:type="paragraph" w:styleId="List2">
    <w:name w:val="List 2"/>
    <w:basedOn w:val="Normal"/>
    <w:uiPriority w:val="99"/>
    <w:semiHidden/>
    <w:unhideWhenUsed/>
    <w:rsid w:val="00FD7D34"/>
    <w:pPr>
      <w:ind w:left="720" w:hanging="360"/>
      <w:contextualSpacing/>
    </w:pPr>
  </w:style>
  <w:style w:type="paragraph" w:styleId="List3">
    <w:name w:val="List 3"/>
    <w:basedOn w:val="Normal"/>
    <w:uiPriority w:val="99"/>
    <w:semiHidden/>
    <w:unhideWhenUsed/>
    <w:rsid w:val="00FD7D34"/>
    <w:pPr>
      <w:ind w:left="1080" w:hanging="360"/>
      <w:contextualSpacing/>
    </w:pPr>
  </w:style>
  <w:style w:type="paragraph" w:styleId="List4">
    <w:name w:val="List 4"/>
    <w:basedOn w:val="Normal"/>
    <w:uiPriority w:val="99"/>
    <w:semiHidden/>
    <w:unhideWhenUsed/>
    <w:rsid w:val="00FD7D34"/>
    <w:pPr>
      <w:ind w:left="1440" w:hanging="360"/>
      <w:contextualSpacing/>
    </w:pPr>
  </w:style>
  <w:style w:type="paragraph" w:styleId="List5">
    <w:name w:val="List 5"/>
    <w:basedOn w:val="Normal"/>
    <w:uiPriority w:val="99"/>
    <w:semiHidden/>
    <w:unhideWhenUsed/>
    <w:rsid w:val="00FD7D34"/>
    <w:pPr>
      <w:ind w:left="1800" w:hanging="360"/>
      <w:contextualSpacing/>
    </w:pPr>
  </w:style>
  <w:style w:type="paragraph" w:styleId="ListBullet">
    <w:name w:val="List Bullet"/>
    <w:basedOn w:val="Normal"/>
    <w:uiPriority w:val="99"/>
    <w:semiHidden/>
    <w:unhideWhenUsed/>
    <w:rsid w:val="00FD7D34"/>
    <w:pPr>
      <w:numPr>
        <w:numId w:val="23"/>
      </w:numPr>
      <w:contextualSpacing/>
    </w:pPr>
  </w:style>
  <w:style w:type="paragraph" w:styleId="ListBullet2">
    <w:name w:val="List Bullet 2"/>
    <w:basedOn w:val="Normal"/>
    <w:uiPriority w:val="99"/>
    <w:semiHidden/>
    <w:unhideWhenUsed/>
    <w:rsid w:val="00FD7D34"/>
    <w:pPr>
      <w:numPr>
        <w:numId w:val="24"/>
      </w:numPr>
      <w:contextualSpacing/>
    </w:pPr>
  </w:style>
  <w:style w:type="paragraph" w:styleId="ListBullet3">
    <w:name w:val="List Bullet 3"/>
    <w:basedOn w:val="Normal"/>
    <w:uiPriority w:val="99"/>
    <w:semiHidden/>
    <w:unhideWhenUsed/>
    <w:rsid w:val="00FD7D34"/>
    <w:pPr>
      <w:numPr>
        <w:numId w:val="25"/>
      </w:numPr>
      <w:contextualSpacing/>
    </w:pPr>
  </w:style>
  <w:style w:type="paragraph" w:styleId="ListBullet4">
    <w:name w:val="List Bullet 4"/>
    <w:basedOn w:val="Normal"/>
    <w:uiPriority w:val="99"/>
    <w:semiHidden/>
    <w:unhideWhenUsed/>
    <w:rsid w:val="00FD7D34"/>
    <w:pPr>
      <w:numPr>
        <w:numId w:val="26"/>
      </w:numPr>
      <w:contextualSpacing/>
    </w:pPr>
  </w:style>
  <w:style w:type="paragraph" w:styleId="ListBullet5">
    <w:name w:val="List Bullet 5"/>
    <w:basedOn w:val="Normal"/>
    <w:uiPriority w:val="99"/>
    <w:semiHidden/>
    <w:unhideWhenUsed/>
    <w:rsid w:val="00FD7D34"/>
    <w:pPr>
      <w:numPr>
        <w:numId w:val="27"/>
      </w:numPr>
      <w:contextualSpacing/>
    </w:pPr>
  </w:style>
  <w:style w:type="paragraph" w:styleId="ListContinue">
    <w:name w:val="List Continue"/>
    <w:basedOn w:val="Normal"/>
    <w:uiPriority w:val="99"/>
    <w:semiHidden/>
    <w:unhideWhenUsed/>
    <w:rsid w:val="00FD7D34"/>
    <w:pPr>
      <w:spacing w:after="120"/>
      <w:ind w:left="360"/>
      <w:contextualSpacing/>
    </w:pPr>
  </w:style>
  <w:style w:type="paragraph" w:styleId="ListContinue2">
    <w:name w:val="List Continue 2"/>
    <w:basedOn w:val="Normal"/>
    <w:uiPriority w:val="99"/>
    <w:semiHidden/>
    <w:unhideWhenUsed/>
    <w:rsid w:val="00FD7D34"/>
    <w:pPr>
      <w:spacing w:after="120"/>
      <w:ind w:left="720"/>
      <w:contextualSpacing/>
    </w:pPr>
  </w:style>
  <w:style w:type="paragraph" w:styleId="ListContinue3">
    <w:name w:val="List Continue 3"/>
    <w:basedOn w:val="Normal"/>
    <w:uiPriority w:val="99"/>
    <w:semiHidden/>
    <w:unhideWhenUsed/>
    <w:rsid w:val="00FD7D34"/>
    <w:pPr>
      <w:spacing w:after="120"/>
      <w:ind w:left="1080"/>
      <w:contextualSpacing/>
    </w:pPr>
  </w:style>
  <w:style w:type="paragraph" w:styleId="ListContinue4">
    <w:name w:val="List Continue 4"/>
    <w:basedOn w:val="Normal"/>
    <w:uiPriority w:val="99"/>
    <w:semiHidden/>
    <w:unhideWhenUsed/>
    <w:rsid w:val="00FD7D34"/>
    <w:pPr>
      <w:spacing w:after="120"/>
      <w:ind w:left="1440"/>
      <w:contextualSpacing/>
    </w:pPr>
  </w:style>
  <w:style w:type="paragraph" w:styleId="ListContinue5">
    <w:name w:val="List Continue 5"/>
    <w:basedOn w:val="Normal"/>
    <w:uiPriority w:val="99"/>
    <w:semiHidden/>
    <w:unhideWhenUsed/>
    <w:rsid w:val="00FD7D34"/>
    <w:pPr>
      <w:spacing w:after="120"/>
      <w:ind w:left="1800"/>
      <w:contextualSpacing/>
    </w:pPr>
  </w:style>
  <w:style w:type="paragraph" w:styleId="ListNumber">
    <w:name w:val="List Number"/>
    <w:basedOn w:val="Normal"/>
    <w:uiPriority w:val="99"/>
    <w:semiHidden/>
    <w:unhideWhenUsed/>
    <w:rsid w:val="00FD7D34"/>
    <w:pPr>
      <w:numPr>
        <w:numId w:val="28"/>
      </w:numPr>
      <w:contextualSpacing/>
    </w:pPr>
  </w:style>
  <w:style w:type="paragraph" w:styleId="ListNumber3">
    <w:name w:val="List Number 3"/>
    <w:basedOn w:val="Normal"/>
    <w:uiPriority w:val="99"/>
    <w:semiHidden/>
    <w:unhideWhenUsed/>
    <w:rsid w:val="00FD7D34"/>
    <w:pPr>
      <w:numPr>
        <w:numId w:val="29"/>
      </w:numPr>
      <w:contextualSpacing/>
    </w:pPr>
  </w:style>
  <w:style w:type="paragraph" w:styleId="ListNumber4">
    <w:name w:val="List Number 4"/>
    <w:basedOn w:val="Normal"/>
    <w:uiPriority w:val="99"/>
    <w:semiHidden/>
    <w:unhideWhenUsed/>
    <w:rsid w:val="00FD7D34"/>
    <w:pPr>
      <w:numPr>
        <w:numId w:val="30"/>
      </w:numPr>
      <w:contextualSpacing/>
    </w:pPr>
  </w:style>
  <w:style w:type="paragraph" w:styleId="ListNumber5">
    <w:name w:val="List Number 5"/>
    <w:basedOn w:val="Normal"/>
    <w:uiPriority w:val="99"/>
    <w:semiHidden/>
    <w:unhideWhenUsed/>
    <w:rsid w:val="00FD7D34"/>
    <w:pPr>
      <w:numPr>
        <w:numId w:val="31"/>
      </w:numPr>
      <w:contextualSpacing/>
    </w:pPr>
  </w:style>
  <w:style w:type="paragraph" w:styleId="MacroText">
    <w:name w:val="macro"/>
    <w:link w:val="MacroTextChar"/>
    <w:uiPriority w:val="99"/>
    <w:semiHidden/>
    <w:unhideWhenUsed/>
    <w:rsid w:val="00FD7D3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FD7D34"/>
    <w:rPr>
      <w:rFonts w:ascii="Consolas" w:hAnsi="Consolas" w:cs="Consolas"/>
      <w:sz w:val="20"/>
      <w:szCs w:val="20"/>
    </w:rPr>
  </w:style>
  <w:style w:type="paragraph" w:styleId="MessageHeader">
    <w:name w:val="Message Header"/>
    <w:basedOn w:val="Normal"/>
    <w:link w:val="MessageHeaderChar"/>
    <w:uiPriority w:val="99"/>
    <w:semiHidden/>
    <w:unhideWhenUsed/>
    <w:rsid w:val="00FD7D3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FD7D34"/>
    <w:rPr>
      <w:sz w:val="24"/>
      <w:szCs w:val="24"/>
      <w:shd w:val="pct20" w:color="auto" w:fill="auto"/>
    </w:rPr>
  </w:style>
  <w:style w:type="paragraph" w:styleId="NormalIndent">
    <w:name w:val="Normal Indent"/>
    <w:basedOn w:val="Normal"/>
    <w:uiPriority w:val="99"/>
    <w:semiHidden/>
    <w:unhideWhenUsed/>
    <w:rsid w:val="00FD7D34"/>
    <w:pPr>
      <w:ind w:left="720"/>
    </w:pPr>
  </w:style>
  <w:style w:type="paragraph" w:styleId="NoteHeading">
    <w:name w:val="Note Heading"/>
    <w:basedOn w:val="Normal"/>
    <w:next w:val="Normal"/>
    <w:link w:val="NoteHeadingChar"/>
    <w:uiPriority w:val="99"/>
    <w:semiHidden/>
    <w:unhideWhenUsed/>
    <w:rsid w:val="00FD7D34"/>
    <w:pPr>
      <w:spacing w:after="0" w:line="240" w:lineRule="auto"/>
    </w:pPr>
  </w:style>
  <w:style w:type="character" w:customStyle="1" w:styleId="NoteHeadingChar">
    <w:name w:val="Note Heading Char"/>
    <w:basedOn w:val="DefaultParagraphFont"/>
    <w:link w:val="NoteHeading"/>
    <w:uiPriority w:val="99"/>
    <w:semiHidden/>
    <w:rsid w:val="00FD7D34"/>
  </w:style>
  <w:style w:type="paragraph" w:styleId="PlainText">
    <w:name w:val="Plain Text"/>
    <w:basedOn w:val="Normal"/>
    <w:link w:val="PlainTextChar"/>
    <w:uiPriority w:val="99"/>
    <w:semiHidden/>
    <w:unhideWhenUsed/>
    <w:rsid w:val="00FD7D3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D7D34"/>
    <w:rPr>
      <w:rFonts w:ascii="Consolas" w:hAnsi="Consolas" w:cs="Consolas"/>
      <w:sz w:val="21"/>
      <w:szCs w:val="21"/>
    </w:rPr>
  </w:style>
  <w:style w:type="paragraph" w:styleId="Salutation">
    <w:name w:val="Salutation"/>
    <w:basedOn w:val="Normal"/>
    <w:next w:val="Normal"/>
    <w:link w:val="SalutationChar"/>
    <w:uiPriority w:val="99"/>
    <w:semiHidden/>
    <w:unhideWhenUsed/>
    <w:rsid w:val="00FD7D34"/>
  </w:style>
  <w:style w:type="character" w:customStyle="1" w:styleId="SalutationChar">
    <w:name w:val="Salutation Char"/>
    <w:basedOn w:val="DefaultParagraphFont"/>
    <w:link w:val="Salutation"/>
    <w:uiPriority w:val="99"/>
    <w:semiHidden/>
    <w:rsid w:val="00FD7D34"/>
  </w:style>
  <w:style w:type="paragraph" w:styleId="Signature">
    <w:name w:val="Signature"/>
    <w:basedOn w:val="Normal"/>
    <w:link w:val="SignatureChar"/>
    <w:uiPriority w:val="99"/>
    <w:semiHidden/>
    <w:unhideWhenUsed/>
    <w:rsid w:val="00FD7D34"/>
    <w:pPr>
      <w:spacing w:after="0" w:line="240" w:lineRule="auto"/>
      <w:ind w:left="4320"/>
    </w:pPr>
  </w:style>
  <w:style w:type="character" w:customStyle="1" w:styleId="SignatureChar">
    <w:name w:val="Signature Char"/>
    <w:basedOn w:val="DefaultParagraphFont"/>
    <w:link w:val="Signature"/>
    <w:uiPriority w:val="99"/>
    <w:semiHidden/>
    <w:rsid w:val="00FD7D34"/>
  </w:style>
  <w:style w:type="paragraph" w:styleId="TableofAuthorities">
    <w:name w:val="table of authorities"/>
    <w:basedOn w:val="Normal"/>
    <w:next w:val="Normal"/>
    <w:uiPriority w:val="99"/>
    <w:semiHidden/>
    <w:unhideWhenUsed/>
    <w:rsid w:val="00FD7D34"/>
    <w:pPr>
      <w:spacing w:after="0"/>
      <w:ind w:left="220" w:hanging="220"/>
    </w:pPr>
  </w:style>
  <w:style w:type="paragraph" w:styleId="TableofFigures">
    <w:name w:val="table of figures"/>
    <w:basedOn w:val="Normal"/>
    <w:next w:val="Normal"/>
    <w:uiPriority w:val="99"/>
    <w:semiHidden/>
    <w:unhideWhenUsed/>
    <w:rsid w:val="00FD7D34"/>
    <w:pPr>
      <w:spacing w:after="0"/>
    </w:pPr>
  </w:style>
  <w:style w:type="paragraph" w:styleId="TOAHeading">
    <w:name w:val="toa heading"/>
    <w:basedOn w:val="Normal"/>
    <w:next w:val="Normal"/>
    <w:uiPriority w:val="99"/>
    <w:semiHidden/>
    <w:unhideWhenUsed/>
    <w:rsid w:val="00FD7D34"/>
    <w:pPr>
      <w:spacing w:before="12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Classic 1" w:uiPriority="0"/>
    <w:lsdException w:name="Table Classic 2" w:uiPriority="0"/>
    <w:lsdException w:name="Table 3D effects 1"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9E"/>
  </w:style>
  <w:style w:type="paragraph" w:styleId="Heading1">
    <w:name w:val="heading 1"/>
    <w:basedOn w:val="Normal"/>
    <w:next w:val="Normal"/>
    <w:link w:val="Heading1Char"/>
    <w:uiPriority w:val="9"/>
    <w:qFormat/>
    <w:rsid w:val="00B3619E"/>
    <w:pPr>
      <w:pBdr>
        <w:bottom w:val="thinThickSmallGap" w:sz="12" w:space="1" w:color="628BAD" w:themeColor="accent2" w:themeShade="BF"/>
      </w:pBdr>
      <w:spacing w:before="400"/>
      <w:jc w:val="center"/>
      <w:outlineLvl w:val="0"/>
    </w:pPr>
    <w:rPr>
      <w:caps/>
      <w:color w:val="3E5D78" w:themeColor="accent2" w:themeShade="80"/>
      <w:spacing w:val="20"/>
      <w:sz w:val="28"/>
      <w:szCs w:val="28"/>
    </w:rPr>
  </w:style>
  <w:style w:type="paragraph" w:styleId="Heading2">
    <w:name w:val="heading 2"/>
    <w:aliases w:val="H2"/>
    <w:basedOn w:val="Normal"/>
    <w:next w:val="Normal"/>
    <w:link w:val="Heading2Char"/>
    <w:uiPriority w:val="9"/>
    <w:unhideWhenUsed/>
    <w:qFormat/>
    <w:rsid w:val="00D903CD"/>
    <w:pPr>
      <w:pBdr>
        <w:bottom w:val="single" w:sz="4" w:space="1" w:color="3E5C77" w:themeColor="accent2" w:themeShade="7F"/>
      </w:pBdr>
      <w:spacing w:before="400"/>
      <w:jc w:val="center"/>
      <w:outlineLvl w:val="1"/>
    </w:pPr>
    <w:rPr>
      <w:caps/>
      <w:color w:val="3E5D78" w:themeColor="accent2" w:themeShade="80"/>
      <w:spacing w:val="15"/>
      <w:kern w:val="24"/>
      <w:sz w:val="24"/>
      <w:szCs w:val="24"/>
    </w:rPr>
  </w:style>
  <w:style w:type="paragraph" w:styleId="Heading3">
    <w:name w:val="heading 3"/>
    <w:basedOn w:val="Normal"/>
    <w:next w:val="Normal"/>
    <w:link w:val="Heading3Char"/>
    <w:uiPriority w:val="9"/>
    <w:unhideWhenUsed/>
    <w:qFormat/>
    <w:rsid w:val="00B3619E"/>
    <w:pPr>
      <w:pBdr>
        <w:top w:val="dotted" w:sz="4" w:space="1" w:color="3E5C77" w:themeColor="accent2" w:themeShade="7F"/>
        <w:bottom w:val="dotted" w:sz="4" w:space="1" w:color="3E5C77" w:themeColor="accent2" w:themeShade="7F"/>
      </w:pBdr>
      <w:spacing w:before="300"/>
      <w:jc w:val="center"/>
      <w:outlineLvl w:val="2"/>
    </w:pPr>
    <w:rPr>
      <w:caps/>
      <w:color w:val="3E5C77" w:themeColor="accent2" w:themeShade="7F"/>
      <w:sz w:val="24"/>
      <w:szCs w:val="24"/>
    </w:rPr>
  </w:style>
  <w:style w:type="paragraph" w:styleId="Heading4">
    <w:name w:val="heading 4"/>
    <w:aliases w:val="Heading 4 Indented"/>
    <w:basedOn w:val="Normal"/>
    <w:next w:val="Normal"/>
    <w:link w:val="Heading4Char"/>
    <w:uiPriority w:val="9"/>
    <w:unhideWhenUsed/>
    <w:qFormat/>
    <w:rsid w:val="00B3619E"/>
    <w:pPr>
      <w:pBdr>
        <w:bottom w:val="dotted" w:sz="4" w:space="1" w:color="628BAD" w:themeColor="accent2" w:themeShade="BF"/>
      </w:pBdr>
      <w:spacing w:after="120"/>
      <w:jc w:val="center"/>
      <w:outlineLvl w:val="3"/>
    </w:pPr>
    <w:rPr>
      <w:caps/>
      <w:color w:val="3E5C77" w:themeColor="accent2" w:themeShade="7F"/>
      <w:spacing w:val="10"/>
    </w:rPr>
  </w:style>
  <w:style w:type="paragraph" w:styleId="Heading5">
    <w:name w:val="heading 5"/>
    <w:basedOn w:val="Normal"/>
    <w:next w:val="Normal"/>
    <w:link w:val="Heading5Char"/>
    <w:uiPriority w:val="9"/>
    <w:unhideWhenUsed/>
    <w:qFormat/>
    <w:rsid w:val="00B3619E"/>
    <w:pPr>
      <w:spacing w:before="320" w:after="120"/>
      <w:jc w:val="center"/>
      <w:outlineLvl w:val="4"/>
    </w:pPr>
    <w:rPr>
      <w:caps/>
      <w:color w:val="3E5C77" w:themeColor="accent2" w:themeShade="7F"/>
      <w:spacing w:val="10"/>
    </w:rPr>
  </w:style>
  <w:style w:type="paragraph" w:styleId="Heading6">
    <w:name w:val="heading 6"/>
    <w:basedOn w:val="Normal"/>
    <w:next w:val="Normal"/>
    <w:link w:val="Heading6Char"/>
    <w:uiPriority w:val="9"/>
    <w:unhideWhenUsed/>
    <w:qFormat/>
    <w:rsid w:val="00B3619E"/>
    <w:pPr>
      <w:spacing w:after="120"/>
      <w:jc w:val="center"/>
      <w:outlineLvl w:val="5"/>
    </w:pPr>
    <w:rPr>
      <w:caps/>
      <w:color w:val="628BAD" w:themeColor="accent2" w:themeShade="BF"/>
      <w:spacing w:val="10"/>
    </w:rPr>
  </w:style>
  <w:style w:type="paragraph" w:styleId="Heading7">
    <w:name w:val="heading 7"/>
    <w:basedOn w:val="Normal"/>
    <w:next w:val="Normal"/>
    <w:link w:val="Heading7Char"/>
    <w:uiPriority w:val="9"/>
    <w:unhideWhenUsed/>
    <w:qFormat/>
    <w:rsid w:val="00B3619E"/>
    <w:pPr>
      <w:spacing w:after="120"/>
      <w:jc w:val="center"/>
      <w:outlineLvl w:val="6"/>
    </w:pPr>
    <w:rPr>
      <w:i/>
      <w:iCs/>
      <w:caps/>
      <w:color w:val="628BAD" w:themeColor="accent2" w:themeShade="BF"/>
      <w:spacing w:val="10"/>
    </w:rPr>
  </w:style>
  <w:style w:type="paragraph" w:styleId="Heading8">
    <w:name w:val="heading 8"/>
    <w:basedOn w:val="Normal"/>
    <w:next w:val="Normal"/>
    <w:link w:val="Heading8Char"/>
    <w:uiPriority w:val="9"/>
    <w:unhideWhenUsed/>
    <w:qFormat/>
    <w:rsid w:val="00B3619E"/>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B3619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1 Char,Body Text Char Char Char,Body Text Char1 Char Char Char,Body Text Char Char Char Char Char,Body Text Char1 Char Char Char Char Char,Body Text Char Char Char Char Char Char Char,Body Text Char1 Char1 Char"/>
    <w:basedOn w:val="Normal"/>
    <w:link w:val="BodyTextChar1"/>
    <w:rsid w:val="003E06BC"/>
    <w:pPr>
      <w:spacing w:before="60" w:after="60"/>
    </w:pPr>
    <w:rPr>
      <w:rFonts w:ascii="Times New Roman" w:hAnsi="Times New Roman"/>
    </w:rPr>
  </w:style>
  <w:style w:type="paragraph" w:customStyle="1" w:styleId="TableHeading">
    <w:name w:val="Table Heading"/>
    <w:basedOn w:val="Normal"/>
    <w:rsid w:val="003E06BC"/>
    <w:pPr>
      <w:spacing w:before="60" w:after="60"/>
    </w:pPr>
    <w:rPr>
      <w:b/>
    </w:rPr>
  </w:style>
  <w:style w:type="paragraph" w:customStyle="1" w:styleId="TableText">
    <w:name w:val="Table Text"/>
    <w:basedOn w:val="Normal"/>
    <w:rsid w:val="003E06BC"/>
    <w:pPr>
      <w:spacing w:before="40" w:after="60"/>
    </w:pPr>
    <w:rPr>
      <w:sz w:val="18"/>
    </w:rPr>
  </w:style>
  <w:style w:type="paragraph" w:customStyle="1" w:styleId="ListTableNumber">
    <w:name w:val="List Table Number"/>
    <w:basedOn w:val="ListNumber2"/>
    <w:rsid w:val="003E06BC"/>
    <w:pPr>
      <w:numPr>
        <w:numId w:val="1"/>
      </w:numPr>
      <w:tabs>
        <w:tab w:val="clear" w:pos="432"/>
        <w:tab w:val="num" w:pos="270"/>
      </w:tabs>
      <w:spacing w:before="40" w:after="20"/>
      <w:ind w:left="270" w:hanging="270"/>
    </w:pPr>
    <w:rPr>
      <w:rFonts w:ascii="Arial" w:hAnsi="Arial" w:cs="Arial"/>
      <w:sz w:val="18"/>
    </w:rPr>
  </w:style>
  <w:style w:type="paragraph" w:styleId="ListNumber2">
    <w:name w:val="List Number 2"/>
    <w:basedOn w:val="Normal"/>
    <w:rsid w:val="003E06BC"/>
    <w:pPr>
      <w:numPr>
        <w:numId w:val="3"/>
      </w:numPr>
    </w:pPr>
    <w:rPr>
      <w:rFonts w:ascii="Times New Roman" w:hAnsi="Times New Roman"/>
    </w:rPr>
  </w:style>
  <w:style w:type="paragraph" w:styleId="BodyText2">
    <w:name w:val="Body Text 2"/>
    <w:basedOn w:val="Normal"/>
    <w:rsid w:val="003E06BC"/>
    <w:rPr>
      <w:rFonts w:ascii="Courier New" w:hAnsi="Courier New"/>
      <w:snapToGrid w:val="0"/>
      <w:color w:val="000000"/>
    </w:rPr>
  </w:style>
  <w:style w:type="paragraph" w:customStyle="1" w:styleId="Footer-ATT">
    <w:name w:val="Footer - ATT"/>
    <w:rsid w:val="003E06BC"/>
    <w:pPr>
      <w:tabs>
        <w:tab w:val="center" w:pos="4751"/>
        <w:tab w:val="right" w:pos="9000"/>
      </w:tabs>
      <w:spacing w:line="-180" w:lineRule="auto"/>
    </w:pPr>
    <w:rPr>
      <w:color w:val="000000"/>
      <w:sz w:val="16"/>
    </w:rPr>
  </w:style>
  <w:style w:type="character" w:styleId="PageNumber">
    <w:name w:val="page number"/>
    <w:basedOn w:val="DefaultParagraphFont"/>
    <w:rsid w:val="003E06BC"/>
    <w:rPr>
      <w:rFonts w:ascii="Times New Roman" w:hAnsi="Times New Roman"/>
      <w:sz w:val="20"/>
      <w:vertAlign w:val="baseline"/>
    </w:rPr>
  </w:style>
  <w:style w:type="paragraph" w:styleId="Title">
    <w:name w:val="Title"/>
    <w:basedOn w:val="Normal"/>
    <w:next w:val="Normal"/>
    <w:link w:val="TitleChar"/>
    <w:uiPriority w:val="10"/>
    <w:qFormat/>
    <w:rsid w:val="00B3619E"/>
    <w:pPr>
      <w:pBdr>
        <w:top w:val="dotted" w:sz="2" w:space="1" w:color="3E5D78" w:themeColor="accent2" w:themeShade="80"/>
        <w:bottom w:val="dotted" w:sz="2" w:space="6" w:color="3E5D78" w:themeColor="accent2" w:themeShade="80"/>
      </w:pBdr>
      <w:spacing w:before="500" w:after="300" w:line="240" w:lineRule="auto"/>
      <w:jc w:val="center"/>
    </w:pPr>
    <w:rPr>
      <w:caps/>
      <w:color w:val="3E5D78" w:themeColor="accent2" w:themeShade="80"/>
      <w:spacing w:val="50"/>
      <w:sz w:val="44"/>
      <w:szCs w:val="44"/>
    </w:rPr>
  </w:style>
  <w:style w:type="paragraph" w:customStyle="1" w:styleId="ListArrow">
    <w:name w:val="List Arrow"/>
    <w:basedOn w:val="BodyText"/>
    <w:rsid w:val="003E06BC"/>
    <w:pPr>
      <w:numPr>
        <w:numId w:val="2"/>
      </w:numPr>
      <w:spacing w:before="40" w:after="20"/>
    </w:pPr>
    <w:rPr>
      <w:szCs w:val="24"/>
    </w:rPr>
  </w:style>
  <w:style w:type="paragraph" w:customStyle="1" w:styleId="TableBullets">
    <w:name w:val="Table Bullets"/>
    <w:basedOn w:val="TableText"/>
    <w:rsid w:val="003E06BC"/>
    <w:pPr>
      <w:numPr>
        <w:numId w:val="5"/>
      </w:numPr>
      <w:tabs>
        <w:tab w:val="clear" w:pos="648"/>
        <w:tab w:val="num" w:pos="310"/>
      </w:tabs>
      <w:ind w:left="310" w:hanging="310"/>
    </w:pPr>
  </w:style>
  <w:style w:type="character" w:styleId="Hyperlink">
    <w:name w:val="Hyperlink"/>
    <w:basedOn w:val="DefaultParagraphFont"/>
    <w:uiPriority w:val="99"/>
    <w:rsid w:val="00FD7D34"/>
    <w:rPr>
      <w:color w:val="auto"/>
      <w:u w:val="none"/>
    </w:rPr>
  </w:style>
  <w:style w:type="paragraph" w:styleId="NormalWeb">
    <w:name w:val="Normal (Web)"/>
    <w:basedOn w:val="Normal"/>
    <w:uiPriority w:val="99"/>
    <w:rsid w:val="003E06BC"/>
    <w:pPr>
      <w:spacing w:before="100" w:beforeAutospacing="1" w:after="100" w:afterAutospacing="1"/>
    </w:pPr>
    <w:rPr>
      <w:rFonts w:ascii="Times New Roman" w:hAnsi="Times New Roman"/>
      <w:sz w:val="24"/>
      <w:szCs w:val="24"/>
    </w:rPr>
  </w:style>
  <w:style w:type="paragraph" w:customStyle="1" w:styleId="ATT">
    <w:name w:val="ATT"/>
    <w:rsid w:val="003E06BC"/>
    <w:pPr>
      <w:keepNext/>
      <w:spacing w:line="-400" w:lineRule="auto"/>
    </w:pPr>
    <w:rPr>
      <w:b/>
      <w:color w:val="000000"/>
      <w:spacing w:val="-10"/>
      <w:sz w:val="36"/>
    </w:rPr>
  </w:style>
  <w:style w:type="paragraph" w:customStyle="1" w:styleId="TSDG">
    <w:name w:val="TSDG"/>
    <w:rsid w:val="003E06BC"/>
    <w:pPr>
      <w:keepNext/>
      <w:spacing w:line="-320" w:lineRule="auto"/>
    </w:pPr>
    <w:rPr>
      <w:b/>
      <w:color w:val="000000"/>
      <w:spacing w:val="-10"/>
      <w:sz w:val="28"/>
    </w:rPr>
  </w:style>
  <w:style w:type="paragraph" w:customStyle="1" w:styleId="TitleBook">
    <w:name w:val="TitleBook"/>
    <w:rsid w:val="003E06BC"/>
    <w:pPr>
      <w:spacing w:line="-840" w:lineRule="auto"/>
    </w:pPr>
    <w:rPr>
      <w:color w:val="000000"/>
      <w:spacing w:val="-20"/>
      <w:sz w:val="72"/>
    </w:rPr>
  </w:style>
  <w:style w:type="paragraph" w:customStyle="1" w:styleId="DocCover">
    <w:name w:val="Doc# Cover"/>
    <w:rsid w:val="003E06BC"/>
    <w:pPr>
      <w:keepNext/>
      <w:tabs>
        <w:tab w:val="right" w:pos="1759"/>
      </w:tabs>
      <w:spacing w:line="-440" w:lineRule="auto"/>
    </w:pPr>
    <w:rPr>
      <w:color w:val="000000"/>
      <w:spacing w:val="-10"/>
      <w:sz w:val="36"/>
    </w:rPr>
  </w:style>
  <w:style w:type="paragraph" w:customStyle="1" w:styleId="PrefaceHead1">
    <w:name w:val="Preface Head 1"/>
    <w:next w:val="BodyText"/>
    <w:rsid w:val="003E06BC"/>
    <w:pPr>
      <w:pageBreakBefore/>
      <w:spacing w:before="240" w:after="240" w:line="440" w:lineRule="exact"/>
      <w:jc w:val="right"/>
      <w:outlineLvl w:val="0"/>
    </w:pPr>
    <w:rPr>
      <w:rFonts w:ascii="Verdana" w:hAnsi="Verdana"/>
      <w:b/>
      <w:color w:val="000000"/>
      <w:sz w:val="36"/>
    </w:rPr>
  </w:style>
  <w:style w:type="paragraph" w:customStyle="1" w:styleId="PrefaceHead2">
    <w:name w:val="Preface Head 2"/>
    <w:basedOn w:val="Normal"/>
    <w:next w:val="BodyText"/>
    <w:rsid w:val="003E06BC"/>
    <w:pPr>
      <w:keepNext/>
      <w:tabs>
        <w:tab w:val="right" w:leader="dot" w:pos="9000"/>
      </w:tabs>
      <w:spacing w:before="299" w:after="40" w:line="340" w:lineRule="exact"/>
      <w:outlineLvl w:val="0"/>
    </w:pPr>
    <w:rPr>
      <w:rFonts w:ascii="Verdana" w:hAnsi="Verdana"/>
      <w:b/>
      <w:color w:val="000000"/>
      <w:sz w:val="28"/>
    </w:rPr>
  </w:style>
  <w:style w:type="paragraph" w:styleId="TOC1">
    <w:name w:val="toc 1"/>
    <w:basedOn w:val="Normal"/>
    <w:next w:val="Normal"/>
    <w:autoRedefine/>
    <w:uiPriority w:val="39"/>
    <w:qFormat/>
    <w:rsid w:val="00C53C43"/>
    <w:pPr>
      <w:tabs>
        <w:tab w:val="left" w:pos="600"/>
        <w:tab w:val="right" w:leader="dot" w:pos="9360"/>
      </w:tabs>
    </w:pPr>
    <w:rPr>
      <w:caps/>
      <w:noProof/>
      <w:sz w:val="32"/>
      <w:szCs w:val="32"/>
    </w:rPr>
  </w:style>
  <w:style w:type="paragraph" w:styleId="TOC2">
    <w:name w:val="toc 2"/>
    <w:basedOn w:val="Normal"/>
    <w:next w:val="Normal"/>
    <w:autoRedefine/>
    <w:uiPriority w:val="39"/>
    <w:qFormat/>
    <w:rsid w:val="00F8221E"/>
    <w:pPr>
      <w:tabs>
        <w:tab w:val="left" w:pos="720"/>
        <w:tab w:val="right" w:leader="dot" w:pos="9360"/>
      </w:tabs>
      <w:ind w:left="200"/>
    </w:pPr>
    <w:rPr>
      <w:smallCaps/>
      <w:noProof/>
      <w:sz w:val="32"/>
      <w:szCs w:val="32"/>
    </w:rPr>
  </w:style>
  <w:style w:type="paragraph" w:styleId="TOC3">
    <w:name w:val="toc 3"/>
    <w:basedOn w:val="Normal"/>
    <w:next w:val="Normal"/>
    <w:autoRedefine/>
    <w:uiPriority w:val="39"/>
    <w:rsid w:val="00A74135"/>
    <w:pPr>
      <w:tabs>
        <w:tab w:val="left" w:pos="1200"/>
        <w:tab w:val="right" w:leader="dot" w:pos="8640"/>
      </w:tabs>
      <w:ind w:left="400" w:right="360"/>
    </w:pPr>
    <w:rPr>
      <w:noProof/>
    </w:rPr>
  </w:style>
  <w:style w:type="paragraph" w:styleId="TOC4">
    <w:name w:val="toc 4"/>
    <w:basedOn w:val="Normal"/>
    <w:next w:val="Normal"/>
    <w:autoRedefine/>
    <w:semiHidden/>
    <w:rsid w:val="003E06BC"/>
    <w:pPr>
      <w:tabs>
        <w:tab w:val="left" w:pos="1600"/>
        <w:tab w:val="right" w:leader="dot" w:pos="8640"/>
      </w:tabs>
      <w:ind w:left="600"/>
    </w:pPr>
    <w:rPr>
      <w:noProof/>
      <w:sz w:val="18"/>
      <w:szCs w:val="18"/>
    </w:rPr>
  </w:style>
  <w:style w:type="paragraph" w:styleId="TOC5">
    <w:name w:val="toc 5"/>
    <w:basedOn w:val="Normal"/>
    <w:next w:val="Normal"/>
    <w:autoRedefine/>
    <w:semiHidden/>
    <w:rsid w:val="003E06BC"/>
    <w:pPr>
      <w:ind w:left="800"/>
    </w:pPr>
  </w:style>
  <w:style w:type="paragraph" w:styleId="TOC6">
    <w:name w:val="toc 6"/>
    <w:basedOn w:val="Normal"/>
    <w:next w:val="Normal"/>
    <w:autoRedefine/>
    <w:semiHidden/>
    <w:rsid w:val="003E06BC"/>
    <w:pPr>
      <w:ind w:left="1000"/>
    </w:pPr>
  </w:style>
  <w:style w:type="paragraph" w:styleId="TOC7">
    <w:name w:val="toc 7"/>
    <w:basedOn w:val="Normal"/>
    <w:next w:val="Normal"/>
    <w:autoRedefine/>
    <w:semiHidden/>
    <w:rsid w:val="003E06BC"/>
    <w:pPr>
      <w:ind w:left="1200"/>
    </w:pPr>
  </w:style>
  <w:style w:type="paragraph" w:styleId="TOC8">
    <w:name w:val="toc 8"/>
    <w:basedOn w:val="Normal"/>
    <w:next w:val="Normal"/>
    <w:autoRedefine/>
    <w:semiHidden/>
    <w:rsid w:val="003E06BC"/>
    <w:pPr>
      <w:ind w:left="1400"/>
    </w:pPr>
  </w:style>
  <w:style w:type="paragraph" w:styleId="TOC9">
    <w:name w:val="toc 9"/>
    <w:basedOn w:val="Normal"/>
    <w:next w:val="Normal"/>
    <w:autoRedefine/>
    <w:semiHidden/>
    <w:rsid w:val="003E06BC"/>
    <w:pPr>
      <w:ind w:left="1600"/>
    </w:pPr>
  </w:style>
  <w:style w:type="paragraph" w:customStyle="1" w:styleId="Header-ATT">
    <w:name w:val="Header - ATT"/>
    <w:basedOn w:val="Normal"/>
    <w:next w:val="BodyText"/>
    <w:rsid w:val="003E06BC"/>
    <w:pPr>
      <w:keepNext/>
      <w:spacing w:before="120" w:after="20"/>
    </w:pPr>
    <w:rPr>
      <w:b/>
      <w:szCs w:val="24"/>
    </w:rPr>
  </w:style>
  <w:style w:type="paragraph" w:customStyle="1" w:styleId="ListNumberHeading2">
    <w:name w:val="List Number Heading 2"/>
    <w:basedOn w:val="ListNumber2"/>
    <w:rsid w:val="003E06BC"/>
    <w:pPr>
      <w:tabs>
        <w:tab w:val="clear" w:pos="720"/>
        <w:tab w:val="num" w:pos="1170"/>
      </w:tabs>
      <w:ind w:left="1170"/>
    </w:pPr>
  </w:style>
  <w:style w:type="character" w:styleId="FollowedHyperlink">
    <w:name w:val="FollowedHyperlink"/>
    <w:basedOn w:val="DefaultParagraphFont"/>
    <w:rsid w:val="003E06BC"/>
    <w:rPr>
      <w:color w:val="800080"/>
      <w:u w:val="single"/>
    </w:rPr>
  </w:style>
  <w:style w:type="paragraph" w:styleId="Header">
    <w:name w:val="header"/>
    <w:basedOn w:val="Normal"/>
    <w:link w:val="HeaderChar"/>
    <w:uiPriority w:val="99"/>
    <w:rsid w:val="003E06BC"/>
    <w:pPr>
      <w:tabs>
        <w:tab w:val="center" w:pos="4320"/>
        <w:tab w:val="right" w:pos="8640"/>
      </w:tabs>
    </w:pPr>
    <w:rPr>
      <w:rFonts w:ascii="Times New Roman" w:hAnsi="Times New Roman"/>
    </w:rPr>
  </w:style>
  <w:style w:type="paragraph" w:customStyle="1" w:styleId="Body">
    <w:name w:val="Body"/>
    <w:autoRedefine/>
    <w:rsid w:val="003E06BC"/>
    <w:pPr>
      <w:spacing w:after="100"/>
      <w:ind w:left="346" w:hanging="360"/>
    </w:pPr>
    <w:rPr>
      <w:b/>
      <w:color w:val="000000"/>
    </w:rPr>
  </w:style>
  <w:style w:type="paragraph" w:styleId="Footer">
    <w:name w:val="footer"/>
    <w:aliases w:val="f1,f12,f13,f14"/>
    <w:basedOn w:val="Normal"/>
    <w:link w:val="FooterChar"/>
    <w:uiPriority w:val="99"/>
    <w:rsid w:val="003E06BC"/>
    <w:pPr>
      <w:tabs>
        <w:tab w:val="center" w:pos="4320"/>
        <w:tab w:val="right" w:pos="8640"/>
      </w:tabs>
    </w:pPr>
  </w:style>
  <w:style w:type="paragraph" w:customStyle="1" w:styleId="TableChecklist">
    <w:name w:val="Table Checklist"/>
    <w:basedOn w:val="TableText"/>
    <w:rsid w:val="003E06BC"/>
    <w:pPr>
      <w:numPr>
        <w:numId w:val="4"/>
      </w:numPr>
      <w:tabs>
        <w:tab w:val="clear" w:pos="720"/>
        <w:tab w:val="num" w:pos="252"/>
      </w:tabs>
      <w:ind w:left="252" w:hanging="270"/>
    </w:pPr>
  </w:style>
  <w:style w:type="paragraph" w:customStyle="1" w:styleId="Header-ATT-subsection">
    <w:name w:val="Header - ATT - subsection"/>
    <w:basedOn w:val="Heading9"/>
    <w:next w:val="BodyText"/>
    <w:rsid w:val="003E06BC"/>
    <w:pPr>
      <w:keepNext/>
      <w:spacing w:before="120"/>
    </w:pPr>
  </w:style>
  <w:style w:type="paragraph" w:styleId="BodyTextIndent">
    <w:name w:val="Body Text Indent"/>
    <w:basedOn w:val="Normal"/>
    <w:link w:val="BodyTextIndentChar"/>
    <w:rsid w:val="003E06BC"/>
    <w:pPr>
      <w:ind w:left="288"/>
    </w:pPr>
    <w:rPr>
      <w:rFonts w:ascii="Courier New" w:hAnsi="Courier New"/>
      <w:snapToGrid w:val="0"/>
      <w:color w:val="000000"/>
    </w:rPr>
  </w:style>
  <w:style w:type="paragraph" w:customStyle="1" w:styleId="Tableletteredoutline">
    <w:name w:val="Table lettered outline"/>
    <w:basedOn w:val="TableBullets"/>
    <w:rsid w:val="003E06BC"/>
    <w:pPr>
      <w:numPr>
        <w:numId w:val="6"/>
      </w:numPr>
      <w:tabs>
        <w:tab w:val="clear" w:pos="360"/>
        <w:tab w:val="num" w:pos="288"/>
      </w:tabs>
    </w:pPr>
  </w:style>
  <w:style w:type="table" w:styleId="TableGrid">
    <w:name w:val="Table Grid"/>
    <w:basedOn w:val="TableNormal"/>
    <w:rsid w:val="0003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text"/>
    <w:basedOn w:val="Normal"/>
    <w:rsid w:val="00FF0954"/>
    <w:pPr>
      <w:keepLines/>
      <w:widowControl w:val="0"/>
      <w:spacing w:after="120" w:line="240" w:lineRule="atLeast"/>
    </w:pPr>
    <w:rPr>
      <w:rFonts w:ascii="Times New Roman" w:hAnsi="Times New Roman"/>
    </w:rPr>
  </w:style>
  <w:style w:type="paragraph" w:customStyle="1" w:styleId="StyleBodyTextItalic">
    <w:name w:val="Style Body Text + Italic"/>
    <w:basedOn w:val="BodyText"/>
    <w:link w:val="StyleBodyTextItalicChar"/>
    <w:autoRedefine/>
    <w:rsid w:val="002F0457"/>
    <w:pPr>
      <w:ind w:left="864"/>
    </w:pPr>
    <w:rPr>
      <w:iCs/>
    </w:rPr>
  </w:style>
  <w:style w:type="paragraph" w:customStyle="1" w:styleId="BodyTextforallSubHeadingsCharCharChar">
    <w:name w:val="Body Text for all Sub Headings Char Char Char"/>
    <w:basedOn w:val="BodyText"/>
    <w:link w:val="BodyTextforallSubHeadingsCharCharCharChar"/>
    <w:autoRedefine/>
    <w:rsid w:val="00BD7E17"/>
    <w:pPr>
      <w:numPr>
        <w:numId w:val="7"/>
      </w:numPr>
    </w:pPr>
  </w:style>
  <w:style w:type="paragraph" w:customStyle="1" w:styleId="StyleStyleBodyTextItalicItalicCharCharCharCharChar">
    <w:name w:val="Style Style Body Text + Italic + Italic Char Char Char Char Char"/>
    <w:basedOn w:val="StyleBodyTextItalic"/>
    <w:link w:val="StyleStyleBodyTextItalicItalicCharCharCharCharCharChar"/>
    <w:autoRedefine/>
    <w:rsid w:val="009B0B5A"/>
    <w:pPr>
      <w:ind w:left="0"/>
    </w:pPr>
    <w:rPr>
      <w:rFonts w:ascii="Tahoma" w:hAnsi="Tahoma" w:cs="Tahoma"/>
      <w:color w:val="000000"/>
    </w:rPr>
  </w:style>
  <w:style w:type="paragraph" w:customStyle="1" w:styleId="StyleHeading3TimesNewRoman">
    <w:name w:val="Style Heading 3 + Times New Roman"/>
    <w:basedOn w:val="Heading3"/>
    <w:autoRedefine/>
    <w:rsid w:val="00042EA6"/>
    <w:pPr>
      <w:spacing w:before="0" w:after="0"/>
      <w:ind w:left="1440"/>
    </w:pPr>
    <w:rPr>
      <w:rFonts w:ascii="Times New Roman" w:hAnsi="Times New Roman"/>
      <w:bCs/>
      <w:sz w:val="22"/>
    </w:rPr>
  </w:style>
  <w:style w:type="paragraph" w:customStyle="1" w:styleId="StyleHeading2H2TimesNewRomanNounderlineCharChar">
    <w:name w:val="Style Heading 2H2 + Times New Roman No underline Char Char"/>
    <w:basedOn w:val="Heading2"/>
    <w:link w:val="StyleHeading2H2TimesNewRomanNounderlineCharCharChar"/>
    <w:autoRedefine/>
    <w:rsid w:val="00EA7A1F"/>
    <w:pPr>
      <w:spacing w:before="0"/>
      <w:ind w:left="1584"/>
    </w:pPr>
    <w:rPr>
      <w:rFonts w:ascii="Tahoma" w:hAnsi="Tahoma" w:cs="Tahoma"/>
      <w:bCs/>
      <w:sz w:val="20"/>
    </w:rPr>
  </w:style>
  <w:style w:type="character" w:customStyle="1" w:styleId="BodyTextChar1">
    <w:name w:val="Body Text Char1"/>
    <w:aliases w:val="Body Text Char Char,Body Text Char1 Char Char,Body Text Char Char Char Char,Body Text Char1 Char Char Char Char,Body Text Char Char Char Char Char Char,Body Text Char1 Char Char Char Char Char Char,Body Text Char1 Char1 Char Char"/>
    <w:basedOn w:val="DefaultParagraphFont"/>
    <w:link w:val="BodyText"/>
    <w:rsid w:val="00705A4B"/>
    <w:rPr>
      <w:sz w:val="22"/>
      <w:lang w:val="en-US" w:eastAsia="en-US" w:bidi="ar-SA"/>
    </w:rPr>
  </w:style>
  <w:style w:type="character" w:customStyle="1" w:styleId="BodyTextforallSubHeadingsCharCharCharChar">
    <w:name w:val="Body Text for all Sub Headings Char Char Char Char"/>
    <w:basedOn w:val="BodyTextChar1"/>
    <w:link w:val="BodyTextforallSubHeadingsCharCharChar"/>
    <w:rsid w:val="00BD7E17"/>
    <w:rPr>
      <w:rFonts w:ascii="Times New Roman" w:hAnsi="Times New Roman"/>
      <w:sz w:val="22"/>
      <w:lang w:val="en-US" w:eastAsia="en-US" w:bidi="ar-SA"/>
    </w:rPr>
  </w:style>
  <w:style w:type="character" w:customStyle="1" w:styleId="StyleBodyTextItalicChar">
    <w:name w:val="Style Body Text + Italic Char"/>
    <w:basedOn w:val="BodyTextChar1"/>
    <w:link w:val="StyleBodyTextItalic"/>
    <w:rsid w:val="00705A4B"/>
    <w:rPr>
      <w:iCs/>
      <w:sz w:val="22"/>
      <w:lang w:val="en-US" w:eastAsia="en-US" w:bidi="ar-SA"/>
    </w:rPr>
  </w:style>
  <w:style w:type="character" w:customStyle="1" w:styleId="StyleStyleBodyTextItalicItalicCharCharCharCharCharChar">
    <w:name w:val="Style Style Body Text + Italic + Italic Char Char Char Char Char Char"/>
    <w:basedOn w:val="StyleBodyTextItalicChar"/>
    <w:link w:val="StyleStyleBodyTextItalicItalicCharCharCharCharChar"/>
    <w:rsid w:val="009B0B5A"/>
    <w:rPr>
      <w:rFonts w:ascii="Tahoma" w:hAnsi="Tahoma" w:cs="Tahoma"/>
      <w:iCs/>
      <w:color w:val="000000"/>
      <w:sz w:val="22"/>
      <w:lang w:val="en-US" w:eastAsia="en-US" w:bidi="ar-SA"/>
    </w:rPr>
  </w:style>
  <w:style w:type="paragraph" w:customStyle="1" w:styleId="StyleStyleBodyTextItalicItalic">
    <w:name w:val="Style Style Body Text + Italic + Italic"/>
    <w:basedOn w:val="Normal"/>
    <w:autoRedefine/>
    <w:rsid w:val="00BF7F6C"/>
    <w:pPr>
      <w:spacing w:before="60" w:after="60"/>
      <w:ind w:left="1152"/>
    </w:pPr>
    <w:rPr>
      <w:iCs/>
      <w:color w:val="000000"/>
    </w:rPr>
  </w:style>
  <w:style w:type="paragraph" w:customStyle="1" w:styleId="StyleStyleBodyTextItalicItalicCharCharChar">
    <w:name w:val="Style Style Body Text + Italic + Italic Char Char Char"/>
    <w:basedOn w:val="Normal"/>
    <w:autoRedefine/>
    <w:rsid w:val="00D32237"/>
    <w:pPr>
      <w:spacing w:before="60" w:after="60"/>
    </w:pPr>
    <w:rPr>
      <w:iCs/>
      <w:color w:val="000000"/>
    </w:rPr>
  </w:style>
  <w:style w:type="paragraph" w:customStyle="1" w:styleId="BodyTextforallSubHeadings">
    <w:name w:val="Body Text for all Sub Headings"/>
    <w:basedOn w:val="BodyText"/>
    <w:autoRedefine/>
    <w:rsid w:val="006874B8"/>
    <w:pPr>
      <w:ind w:left="1440"/>
    </w:pPr>
  </w:style>
  <w:style w:type="paragraph" w:styleId="BalloonText">
    <w:name w:val="Balloon Text"/>
    <w:basedOn w:val="Normal"/>
    <w:semiHidden/>
    <w:rsid w:val="0064035C"/>
    <w:rPr>
      <w:rFonts w:ascii="Tahoma" w:hAnsi="Tahoma" w:cs="Tahoma"/>
      <w:sz w:val="16"/>
      <w:szCs w:val="16"/>
    </w:rPr>
  </w:style>
  <w:style w:type="paragraph" w:customStyle="1" w:styleId="1111StyleHeading3TimesNewRoman">
    <w:name w:val="1.1.1.1 Style Heading 3 + Times New Roman"/>
    <w:basedOn w:val="StyleHeading3TimesNewRoman"/>
    <w:rsid w:val="007D0CC6"/>
    <w:pPr>
      <w:tabs>
        <w:tab w:val="num" w:pos="1512"/>
        <w:tab w:val="left" w:pos="11891"/>
      </w:tabs>
      <w:spacing w:before="60"/>
      <w:ind w:left="1890" w:hanging="1080"/>
      <w:outlineLvl w:val="3"/>
    </w:pPr>
    <w:rPr>
      <w:szCs w:val="22"/>
    </w:rPr>
  </w:style>
  <w:style w:type="character" w:customStyle="1" w:styleId="StyleHeading2H2TimesNewRomanNounderlineCharCharChar">
    <w:name w:val="Style Heading 2H2 + Times New Roman No underline Char Char Char"/>
    <w:basedOn w:val="DefaultParagraphFont"/>
    <w:link w:val="StyleHeading2H2TimesNewRomanNounderlineCharChar"/>
    <w:rsid w:val="00EA7A1F"/>
    <w:rPr>
      <w:rFonts w:ascii="Tahoma" w:hAnsi="Tahoma" w:cs="Tahoma"/>
      <w:b/>
      <w:bCs/>
    </w:rPr>
  </w:style>
  <w:style w:type="character" w:customStyle="1" w:styleId="BodyTextChar1Char1">
    <w:name w:val="Body Text Char1 Char1"/>
    <w:aliases w:val="Body Text Char Char Char1,Body Text Char1 Char Char Char1,Body Text Char Char Char Char Char1,Body Text Char1 Char Char Char Char Char1,Body Text Char2 Char Char Char Char Char"/>
    <w:basedOn w:val="DefaultParagraphFont"/>
    <w:rsid w:val="0073031E"/>
    <w:rPr>
      <w:sz w:val="22"/>
      <w:lang w:val="en-US" w:eastAsia="en-US" w:bidi="ar-SA"/>
    </w:rPr>
  </w:style>
  <w:style w:type="paragraph" w:customStyle="1" w:styleId="BodyTextforallSubHeadingsChar1CharCharChar">
    <w:name w:val="Body Text for all Sub Headings Char1 Char Char Char"/>
    <w:basedOn w:val="BodyText"/>
    <w:link w:val="BodyTextforallSubHeadingsChar1CharCharCharChar"/>
    <w:rsid w:val="007805C2"/>
    <w:pPr>
      <w:ind w:left="1440"/>
    </w:pPr>
    <w:rPr>
      <w:rFonts w:ascii="Arial" w:hAnsi="Arial"/>
    </w:rPr>
  </w:style>
  <w:style w:type="character" w:customStyle="1" w:styleId="BodyTextforallSubHeadingsChar1CharCharCharChar">
    <w:name w:val="Body Text for all Sub Headings Char1 Char Char Char Char"/>
    <w:basedOn w:val="DefaultParagraphFont"/>
    <w:link w:val="BodyTextforallSubHeadingsChar1CharCharChar"/>
    <w:rsid w:val="007805C2"/>
    <w:rPr>
      <w:rFonts w:ascii="Arial" w:hAnsi="Arial"/>
      <w:sz w:val="22"/>
      <w:lang w:val="en-US" w:eastAsia="en-US" w:bidi="ar-SA"/>
    </w:rPr>
  </w:style>
  <w:style w:type="paragraph" w:customStyle="1" w:styleId="StyleStyleBodyTextItalicItalicCharCharCharCharCharCharChar">
    <w:name w:val="Style Style Body Text + Italic + Italic Char Char Char Char Char Char Char"/>
    <w:basedOn w:val="Normal"/>
    <w:link w:val="StyleStyleBodyTextItalicItalicCharCharCharCharCharCharCharChar"/>
    <w:rsid w:val="007805C2"/>
    <w:pPr>
      <w:spacing w:before="60" w:after="60"/>
      <w:ind w:left="1440"/>
    </w:pPr>
    <w:rPr>
      <w:rFonts w:ascii="Times New Roman" w:hAnsi="Times New Roman"/>
      <w:iCs/>
    </w:rPr>
  </w:style>
  <w:style w:type="character" w:customStyle="1" w:styleId="BodyTextforallSubHeadingsChar1CharCharChar1Char">
    <w:name w:val="Body Text for all Sub Headings Char1 Char Char Char1 Char"/>
    <w:basedOn w:val="DefaultParagraphFont"/>
    <w:link w:val="BodyTextforallSubHeadingsChar1CharCharChar1"/>
    <w:rsid w:val="00D31CEB"/>
    <w:rPr>
      <w:sz w:val="22"/>
      <w:lang w:val="en-US" w:eastAsia="en-US" w:bidi="ar-SA"/>
    </w:rPr>
  </w:style>
  <w:style w:type="paragraph" w:customStyle="1" w:styleId="BodyTextforallSubHeadingsCharChar">
    <w:name w:val="Body Text for all Sub Headings Char Char"/>
    <w:basedOn w:val="BodyText"/>
    <w:link w:val="BodyTextforallSubHeadingsCharCharChar1"/>
    <w:autoRedefine/>
    <w:rsid w:val="00A55570"/>
    <w:pPr>
      <w:ind w:left="1440"/>
    </w:pPr>
    <w:rPr>
      <w:rFonts w:ascii="Arial" w:hAnsi="Arial"/>
    </w:rPr>
  </w:style>
  <w:style w:type="character" w:customStyle="1" w:styleId="BodyTextforallSubHeadingsCharCharChar1">
    <w:name w:val="Body Text for all Sub Headings Char Char Char1"/>
    <w:basedOn w:val="DefaultParagraphFont"/>
    <w:link w:val="BodyTextforallSubHeadingsCharChar"/>
    <w:rsid w:val="00A55570"/>
    <w:rPr>
      <w:rFonts w:ascii="Arial" w:hAnsi="Arial"/>
      <w:sz w:val="22"/>
      <w:lang w:val="en-US" w:eastAsia="en-US" w:bidi="ar-SA"/>
    </w:rPr>
  </w:style>
  <w:style w:type="paragraph" w:customStyle="1" w:styleId="StyleHeading2H2TimesNewRomanNounderlineChar">
    <w:name w:val="Style Heading 2H2 + Times New Roman No underline Char"/>
    <w:basedOn w:val="Heading2"/>
    <w:autoRedefine/>
    <w:rsid w:val="00B93F0F"/>
    <w:pPr>
      <w:tabs>
        <w:tab w:val="num" w:pos="1386"/>
      </w:tabs>
      <w:spacing w:line="360" w:lineRule="auto"/>
      <w:ind w:left="1602" w:hanging="792"/>
    </w:pPr>
    <w:rPr>
      <w:rFonts w:ascii="Times New Roman" w:hAnsi="Times New Roman"/>
      <w:bCs/>
      <w:szCs w:val="22"/>
    </w:rPr>
  </w:style>
  <w:style w:type="paragraph" w:customStyle="1" w:styleId="BodyTextforallSubHeadingsChar1CharCharChar1">
    <w:name w:val="Body Text for all Sub Headings Char1 Char Char Char1"/>
    <w:basedOn w:val="BodyText"/>
    <w:link w:val="BodyTextforallSubHeadingsChar1CharCharChar1Char"/>
    <w:rsid w:val="00B93F0F"/>
    <w:pPr>
      <w:ind w:left="1440"/>
    </w:pPr>
    <w:rPr>
      <w:rFonts w:ascii="Arial" w:hAnsi="Arial"/>
    </w:rPr>
  </w:style>
  <w:style w:type="paragraph" w:customStyle="1" w:styleId="BodyTextforallSubHeadingsChar1Char">
    <w:name w:val="Body Text for all Sub Headings Char1 Char"/>
    <w:basedOn w:val="BodyText"/>
    <w:rsid w:val="00B93F0F"/>
    <w:pPr>
      <w:ind w:left="1440"/>
    </w:pPr>
  </w:style>
  <w:style w:type="paragraph" w:customStyle="1" w:styleId="BodyTextforallSubHeadingsChar1CharChar">
    <w:name w:val="Body Text for all Sub Headings Char1 Char Char"/>
    <w:basedOn w:val="BodyText"/>
    <w:rsid w:val="002F2FEB"/>
    <w:pPr>
      <w:ind w:left="1440"/>
    </w:pPr>
  </w:style>
  <w:style w:type="paragraph" w:customStyle="1" w:styleId="BodyTextforallSubHeadingsCharCharCharCharCharChar">
    <w:name w:val="Body Text for all Sub Headings Char Char Char Char Char Char"/>
    <w:basedOn w:val="BodyText"/>
    <w:autoRedefine/>
    <w:rsid w:val="001C0784"/>
    <w:pPr>
      <w:ind w:left="1728"/>
    </w:pPr>
    <w:rPr>
      <w:color w:val="000000"/>
    </w:rPr>
  </w:style>
  <w:style w:type="character" w:styleId="Strong">
    <w:name w:val="Strong"/>
    <w:uiPriority w:val="22"/>
    <w:qFormat/>
    <w:rsid w:val="00B3619E"/>
    <w:rPr>
      <w:b/>
      <w:bCs/>
      <w:color w:val="628BAD" w:themeColor="accent2" w:themeShade="BF"/>
      <w:spacing w:val="5"/>
    </w:rPr>
  </w:style>
  <w:style w:type="paragraph" w:customStyle="1" w:styleId="StyleStyleHeading2H2TimesNewRomanNounderline14pt">
    <w:name w:val="Style Style Heading 2H2 + Times New Roman No underline + 14 pt"/>
    <w:basedOn w:val="Normal"/>
    <w:autoRedefine/>
    <w:rsid w:val="00FE69DF"/>
    <w:pPr>
      <w:keepNext/>
      <w:tabs>
        <w:tab w:val="num" w:pos="792"/>
      </w:tabs>
      <w:spacing w:before="240" w:after="60"/>
      <w:ind w:left="1656" w:hanging="792"/>
      <w:outlineLvl w:val="1"/>
    </w:pPr>
    <w:rPr>
      <w:rFonts w:ascii="Times New Roman" w:hAnsi="Times New Roman"/>
      <w:b/>
      <w:bCs/>
      <w:sz w:val="28"/>
    </w:rPr>
  </w:style>
  <w:style w:type="character" w:customStyle="1" w:styleId="StyleStyleBodyTextItalicItalicCharCharCharCharCharCharCharChar">
    <w:name w:val="Style Style Body Text + Italic + Italic Char Char Char Char Char Char Char Char"/>
    <w:basedOn w:val="DefaultParagraphFont"/>
    <w:link w:val="StyleStyleBodyTextItalicItalicCharCharCharCharCharCharChar"/>
    <w:rsid w:val="00FE69DF"/>
    <w:rPr>
      <w:iCs/>
      <w:sz w:val="22"/>
      <w:lang w:val="en-US" w:eastAsia="en-US" w:bidi="ar-SA"/>
    </w:rPr>
  </w:style>
  <w:style w:type="paragraph" w:customStyle="1" w:styleId="Char">
    <w:name w:val="Char"/>
    <w:basedOn w:val="Normal"/>
    <w:rsid w:val="003566A4"/>
    <w:pPr>
      <w:spacing w:after="160" w:line="240" w:lineRule="exact"/>
    </w:pPr>
    <w:rPr>
      <w:rFonts w:ascii="Verdana" w:hAnsi="Verdana"/>
    </w:rPr>
  </w:style>
  <w:style w:type="paragraph" w:customStyle="1" w:styleId="ABLOCKPARA">
    <w:name w:val="A BLOCK PARA"/>
    <w:basedOn w:val="Normal"/>
    <w:rsid w:val="003566A4"/>
    <w:rPr>
      <w:rFonts w:ascii="Book Antiqua" w:hAnsi="Book Antiqua"/>
      <w:iCs/>
    </w:rPr>
  </w:style>
  <w:style w:type="paragraph" w:customStyle="1" w:styleId="ABULLET">
    <w:name w:val="A BULLET"/>
    <w:basedOn w:val="ABLOCKPARA"/>
    <w:rsid w:val="003566A4"/>
    <w:pPr>
      <w:ind w:left="331" w:hanging="331"/>
    </w:pPr>
  </w:style>
  <w:style w:type="paragraph" w:customStyle="1" w:styleId="AINDENTEDBULLET">
    <w:name w:val="A INDENTED BULLET"/>
    <w:basedOn w:val="ABLOCKPARA"/>
    <w:rsid w:val="003566A4"/>
    <w:pPr>
      <w:tabs>
        <w:tab w:val="left" w:pos="1080"/>
      </w:tabs>
      <w:ind w:left="662" w:hanging="331"/>
    </w:pPr>
  </w:style>
  <w:style w:type="paragraph" w:customStyle="1" w:styleId="AINDENTEDPARA">
    <w:name w:val="A INDENTED PARA"/>
    <w:basedOn w:val="ABLOCKPARA"/>
    <w:rsid w:val="003566A4"/>
    <w:pPr>
      <w:ind w:left="331"/>
    </w:pPr>
  </w:style>
  <w:style w:type="paragraph" w:customStyle="1" w:styleId="TableCell">
    <w:name w:val="Table Cell"/>
    <w:basedOn w:val="Normal"/>
    <w:next w:val="Normal"/>
    <w:rsid w:val="003566A4"/>
    <w:pPr>
      <w:spacing w:before="20" w:after="20"/>
    </w:pPr>
    <w:rPr>
      <w:rFonts w:cs="Arial"/>
      <w:iCs/>
      <w:noProof/>
    </w:rPr>
  </w:style>
  <w:style w:type="paragraph" w:customStyle="1" w:styleId="Para">
    <w:name w:val="Para"/>
    <w:basedOn w:val="Normal"/>
    <w:rsid w:val="003566A4"/>
    <w:pPr>
      <w:autoSpaceDE w:val="0"/>
      <w:autoSpaceDN w:val="0"/>
      <w:adjustRightInd w:val="0"/>
      <w:spacing w:before="100" w:line="240" w:lineRule="atLeast"/>
      <w:ind w:left="720"/>
    </w:pPr>
    <w:rPr>
      <w:iCs/>
      <w:color w:val="000000"/>
      <w:szCs w:val="24"/>
    </w:rPr>
  </w:style>
  <w:style w:type="paragraph" w:customStyle="1" w:styleId="Appendix">
    <w:name w:val="Appendix"/>
    <w:basedOn w:val="Normal"/>
    <w:next w:val="Body"/>
    <w:rsid w:val="003566A4"/>
    <w:pPr>
      <w:keepNext/>
      <w:pageBreakBefore/>
      <w:pBdr>
        <w:bottom w:val="double" w:sz="4" w:space="1" w:color="auto"/>
      </w:pBdr>
      <w:spacing w:before="240" w:after="120"/>
      <w:ind w:left="432" w:hanging="432"/>
      <w:outlineLvl w:val="0"/>
    </w:pPr>
    <w:rPr>
      <w:b/>
      <w:iCs/>
      <w:sz w:val="44"/>
    </w:rPr>
  </w:style>
  <w:style w:type="paragraph" w:customStyle="1" w:styleId="Appendix2">
    <w:name w:val="Appendix2"/>
    <w:basedOn w:val="Normal"/>
    <w:next w:val="Body"/>
    <w:rsid w:val="003566A4"/>
    <w:pPr>
      <w:keepNext/>
      <w:tabs>
        <w:tab w:val="num" w:pos="576"/>
      </w:tabs>
      <w:spacing w:before="240" w:after="120"/>
      <w:ind w:left="576" w:hanging="576"/>
      <w:outlineLvl w:val="1"/>
    </w:pPr>
    <w:rPr>
      <w:iCs/>
      <w:sz w:val="32"/>
    </w:rPr>
  </w:style>
  <w:style w:type="paragraph" w:customStyle="1" w:styleId="Appendix3">
    <w:name w:val="Appendix3"/>
    <w:basedOn w:val="Normal"/>
    <w:next w:val="Body"/>
    <w:rsid w:val="003566A4"/>
    <w:pPr>
      <w:keepNext/>
      <w:tabs>
        <w:tab w:val="num" w:pos="720"/>
      </w:tabs>
      <w:spacing w:before="240" w:after="120"/>
      <w:ind w:left="720" w:hanging="720"/>
      <w:outlineLvl w:val="2"/>
    </w:pPr>
    <w:rPr>
      <w:b/>
      <w:iCs/>
      <w:sz w:val="24"/>
    </w:rPr>
  </w:style>
  <w:style w:type="paragraph" w:customStyle="1" w:styleId="Appendix4">
    <w:name w:val="Appendix4"/>
    <w:basedOn w:val="Normal"/>
    <w:next w:val="Body"/>
    <w:rsid w:val="003566A4"/>
    <w:pPr>
      <w:keepNext/>
      <w:tabs>
        <w:tab w:val="left" w:pos="900"/>
        <w:tab w:val="num" w:pos="1080"/>
      </w:tabs>
      <w:spacing w:before="240" w:after="120"/>
      <w:ind w:left="864" w:hanging="864"/>
      <w:outlineLvl w:val="3"/>
    </w:pPr>
    <w:rPr>
      <w:i/>
      <w:iCs/>
      <w:sz w:val="24"/>
    </w:rPr>
  </w:style>
  <w:style w:type="paragraph" w:customStyle="1" w:styleId="Appendix5">
    <w:name w:val="Appendix5"/>
    <w:basedOn w:val="Normal"/>
    <w:next w:val="Body"/>
    <w:rsid w:val="003566A4"/>
    <w:pPr>
      <w:keepNext/>
      <w:tabs>
        <w:tab w:val="left" w:pos="900"/>
        <w:tab w:val="num" w:pos="1440"/>
      </w:tabs>
      <w:spacing w:before="240" w:after="120"/>
      <w:ind w:left="1008" w:hanging="1008"/>
      <w:outlineLvl w:val="3"/>
    </w:pPr>
    <w:rPr>
      <w:i/>
      <w:iCs/>
    </w:rPr>
  </w:style>
  <w:style w:type="paragraph" w:customStyle="1" w:styleId="Appendix6">
    <w:name w:val="Appendix6"/>
    <w:basedOn w:val="Normal"/>
    <w:next w:val="Body"/>
    <w:rsid w:val="003566A4"/>
    <w:pPr>
      <w:keepNext/>
      <w:tabs>
        <w:tab w:val="left" w:pos="900"/>
        <w:tab w:val="num" w:pos="4320"/>
      </w:tabs>
      <w:spacing w:before="240" w:after="120"/>
      <w:ind w:left="4320" w:hanging="180"/>
      <w:outlineLvl w:val="3"/>
    </w:pPr>
    <w:rPr>
      <w:i/>
    </w:rPr>
  </w:style>
  <w:style w:type="character" w:customStyle="1" w:styleId="HelpText">
    <w:name w:val="Help Text"/>
    <w:rsid w:val="003566A4"/>
    <w:rPr>
      <w:i/>
      <w:vanish/>
      <w:color w:val="FF0000"/>
    </w:rPr>
  </w:style>
  <w:style w:type="paragraph" w:customStyle="1" w:styleId="GuidanceText">
    <w:name w:val="Guidance Text"/>
    <w:basedOn w:val="Normal"/>
    <w:link w:val="GuidanceTextChar"/>
    <w:rsid w:val="003566A4"/>
    <w:rPr>
      <w:i/>
      <w:color w:val="0000FF"/>
    </w:rPr>
  </w:style>
  <w:style w:type="character" w:customStyle="1" w:styleId="GuidanceTextChar">
    <w:name w:val="Guidance Text Char"/>
    <w:basedOn w:val="DefaultParagraphFont"/>
    <w:link w:val="GuidanceText"/>
    <w:rsid w:val="003566A4"/>
    <w:rPr>
      <w:rFonts w:ascii="Arial" w:hAnsi="Arial"/>
      <w:i/>
      <w:color w:val="0000FF"/>
    </w:rPr>
  </w:style>
  <w:style w:type="paragraph" w:styleId="DocumentMap">
    <w:name w:val="Document Map"/>
    <w:basedOn w:val="Normal"/>
    <w:link w:val="DocumentMapChar"/>
    <w:semiHidden/>
    <w:rsid w:val="003566A4"/>
    <w:pPr>
      <w:shd w:val="clear" w:color="auto" w:fill="000080"/>
    </w:pPr>
    <w:rPr>
      <w:rFonts w:ascii="Tahoma" w:hAnsi="Tahoma" w:cs="Tahoma"/>
      <w:iCs/>
    </w:rPr>
  </w:style>
  <w:style w:type="character" w:customStyle="1" w:styleId="DocumentMapChar">
    <w:name w:val="Document Map Char"/>
    <w:basedOn w:val="DefaultParagraphFont"/>
    <w:link w:val="DocumentMap"/>
    <w:semiHidden/>
    <w:rsid w:val="003566A4"/>
    <w:rPr>
      <w:rFonts w:ascii="Tahoma" w:hAnsi="Tahoma" w:cs="Tahoma"/>
      <w:iCs/>
      <w:shd w:val="clear" w:color="auto" w:fill="000080"/>
    </w:rPr>
  </w:style>
  <w:style w:type="paragraph" w:customStyle="1" w:styleId="CharCharCharCharCharChar">
    <w:name w:val="Char Char Char Char Char Char"/>
    <w:basedOn w:val="Normal"/>
    <w:rsid w:val="003566A4"/>
    <w:pPr>
      <w:spacing w:after="160" w:line="240" w:lineRule="exact"/>
    </w:pPr>
    <w:rPr>
      <w:rFonts w:ascii="Verdana" w:hAnsi="Verdana"/>
    </w:rPr>
  </w:style>
  <w:style w:type="table" w:styleId="TableClassic2">
    <w:name w:val="Table Classic 2"/>
    <w:basedOn w:val="TableNormal"/>
    <w:rsid w:val="003566A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566A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566A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3566A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3566A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B3619E"/>
    <w:pPr>
      <w:ind w:left="720"/>
      <w:contextualSpacing/>
    </w:pPr>
  </w:style>
  <w:style w:type="table" w:customStyle="1" w:styleId="LightGrid-Accent11">
    <w:name w:val="Light Grid - Accent 11"/>
    <w:basedOn w:val="TableNormal"/>
    <w:uiPriority w:val="62"/>
    <w:rsid w:val="00C67D0F"/>
    <w:tblPr>
      <w:tblStyleRowBandSize w:val="1"/>
      <w:tblStyleColBandSize w:val="1"/>
      <w:tblInd w:w="0" w:type="dxa"/>
      <w:tblBorders>
        <w:top w:val="single" w:sz="8" w:space="0" w:color="727CA3" w:themeColor="accent1"/>
        <w:left w:val="single" w:sz="8" w:space="0" w:color="727CA3" w:themeColor="accent1"/>
        <w:bottom w:val="single" w:sz="8" w:space="0" w:color="727CA3" w:themeColor="accent1"/>
        <w:right w:val="single" w:sz="8" w:space="0" w:color="727CA3" w:themeColor="accent1"/>
        <w:insideH w:val="single" w:sz="8" w:space="0" w:color="727CA3" w:themeColor="accent1"/>
        <w:insideV w:val="single" w:sz="8" w:space="0" w:color="727CA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18" w:space="0" w:color="727CA3" w:themeColor="accent1"/>
          <w:right w:val="single" w:sz="8" w:space="0" w:color="727CA3" w:themeColor="accent1"/>
          <w:insideH w:val="nil"/>
          <w:insideV w:val="single" w:sz="8" w:space="0" w:color="727CA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CA3" w:themeColor="accent1"/>
          <w:left w:val="single" w:sz="8" w:space="0" w:color="727CA3" w:themeColor="accent1"/>
          <w:bottom w:val="single" w:sz="8" w:space="0" w:color="727CA3" w:themeColor="accent1"/>
          <w:right w:val="single" w:sz="8" w:space="0" w:color="727CA3" w:themeColor="accent1"/>
          <w:insideH w:val="nil"/>
          <w:insideV w:val="single" w:sz="8" w:space="0" w:color="727CA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tcPr>
    </w:tblStylePr>
    <w:tblStylePr w:type="band1Vert">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shd w:val="clear" w:color="auto" w:fill="DCDEE8" w:themeFill="accent1" w:themeFillTint="3F"/>
      </w:tcPr>
    </w:tblStylePr>
    <w:tblStylePr w:type="band1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shd w:val="clear" w:color="auto" w:fill="DCDEE8" w:themeFill="accent1" w:themeFillTint="3F"/>
      </w:tcPr>
    </w:tblStylePr>
    <w:tblStylePr w:type="band2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tcPr>
    </w:tblStylePr>
  </w:style>
  <w:style w:type="table" w:styleId="LightGrid-Accent4">
    <w:name w:val="Light Grid Accent 4"/>
    <w:basedOn w:val="TableNormal"/>
    <w:uiPriority w:val="62"/>
    <w:rsid w:val="0052662F"/>
    <w:tblPr>
      <w:tblStyleRowBandSize w:val="1"/>
      <w:tblStyleColBandSize w:val="1"/>
      <w:tblInd w:w="0" w:type="dxa"/>
      <w:tblBorders>
        <w:top w:val="single" w:sz="8" w:space="0" w:color="FADA7A" w:themeColor="accent4"/>
        <w:left w:val="single" w:sz="8" w:space="0" w:color="FADA7A" w:themeColor="accent4"/>
        <w:bottom w:val="single" w:sz="8" w:space="0" w:color="FADA7A" w:themeColor="accent4"/>
        <w:right w:val="single" w:sz="8" w:space="0" w:color="FADA7A" w:themeColor="accent4"/>
        <w:insideH w:val="single" w:sz="8" w:space="0" w:color="FADA7A" w:themeColor="accent4"/>
        <w:insideV w:val="single" w:sz="8" w:space="0" w:color="FADA7A"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ADA7A" w:themeColor="accent4"/>
          <w:left w:val="single" w:sz="8" w:space="0" w:color="FADA7A" w:themeColor="accent4"/>
          <w:bottom w:val="single" w:sz="18" w:space="0" w:color="FADA7A" w:themeColor="accent4"/>
          <w:right w:val="single" w:sz="8" w:space="0" w:color="FADA7A" w:themeColor="accent4"/>
          <w:insideH w:val="nil"/>
          <w:insideV w:val="single" w:sz="8" w:space="0" w:color="FADA7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A7A" w:themeColor="accent4"/>
          <w:left w:val="single" w:sz="8" w:space="0" w:color="FADA7A" w:themeColor="accent4"/>
          <w:bottom w:val="single" w:sz="8" w:space="0" w:color="FADA7A" w:themeColor="accent4"/>
          <w:right w:val="single" w:sz="8" w:space="0" w:color="FADA7A" w:themeColor="accent4"/>
          <w:insideH w:val="nil"/>
          <w:insideV w:val="single" w:sz="8" w:space="0" w:color="FADA7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A7A" w:themeColor="accent4"/>
          <w:left w:val="single" w:sz="8" w:space="0" w:color="FADA7A" w:themeColor="accent4"/>
          <w:bottom w:val="single" w:sz="8" w:space="0" w:color="FADA7A" w:themeColor="accent4"/>
          <w:right w:val="single" w:sz="8" w:space="0" w:color="FADA7A" w:themeColor="accent4"/>
        </w:tcBorders>
      </w:tcPr>
    </w:tblStylePr>
    <w:tblStylePr w:type="band1Vert">
      <w:tblPr/>
      <w:tcPr>
        <w:tcBorders>
          <w:top w:val="single" w:sz="8" w:space="0" w:color="FADA7A" w:themeColor="accent4"/>
          <w:left w:val="single" w:sz="8" w:space="0" w:color="FADA7A" w:themeColor="accent4"/>
          <w:bottom w:val="single" w:sz="8" w:space="0" w:color="FADA7A" w:themeColor="accent4"/>
          <w:right w:val="single" w:sz="8" w:space="0" w:color="FADA7A" w:themeColor="accent4"/>
        </w:tcBorders>
        <w:shd w:val="clear" w:color="auto" w:fill="FDF5DD" w:themeFill="accent4" w:themeFillTint="3F"/>
      </w:tcPr>
    </w:tblStylePr>
    <w:tblStylePr w:type="band1Horz">
      <w:tblPr/>
      <w:tcPr>
        <w:tcBorders>
          <w:top w:val="single" w:sz="8" w:space="0" w:color="FADA7A" w:themeColor="accent4"/>
          <w:left w:val="single" w:sz="8" w:space="0" w:color="FADA7A" w:themeColor="accent4"/>
          <w:bottom w:val="single" w:sz="8" w:space="0" w:color="FADA7A" w:themeColor="accent4"/>
          <w:right w:val="single" w:sz="8" w:space="0" w:color="FADA7A" w:themeColor="accent4"/>
          <w:insideV w:val="single" w:sz="8" w:space="0" w:color="FADA7A" w:themeColor="accent4"/>
        </w:tcBorders>
        <w:shd w:val="clear" w:color="auto" w:fill="FDF5DD" w:themeFill="accent4" w:themeFillTint="3F"/>
      </w:tcPr>
    </w:tblStylePr>
    <w:tblStylePr w:type="band2Horz">
      <w:tblPr/>
      <w:tcPr>
        <w:tcBorders>
          <w:top w:val="single" w:sz="8" w:space="0" w:color="FADA7A" w:themeColor="accent4"/>
          <w:left w:val="single" w:sz="8" w:space="0" w:color="FADA7A" w:themeColor="accent4"/>
          <w:bottom w:val="single" w:sz="8" w:space="0" w:color="FADA7A" w:themeColor="accent4"/>
          <w:right w:val="single" w:sz="8" w:space="0" w:color="FADA7A" w:themeColor="accent4"/>
          <w:insideV w:val="single" w:sz="8" w:space="0" w:color="FADA7A" w:themeColor="accent4"/>
        </w:tcBorders>
      </w:tcPr>
    </w:tblStylePr>
  </w:style>
  <w:style w:type="table" w:customStyle="1" w:styleId="LightShading1">
    <w:name w:val="Light Shading1"/>
    <w:basedOn w:val="TableNormal"/>
    <w:uiPriority w:val="60"/>
    <w:rsid w:val="00B36E62"/>
    <w:rPr>
      <w:rFonts w:asciiTheme="minorHAnsi" w:eastAsia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semiHidden/>
    <w:unhideWhenUsed/>
    <w:rsid w:val="00A91F9C"/>
  </w:style>
  <w:style w:type="character" w:customStyle="1" w:styleId="CommentTextChar">
    <w:name w:val="Comment Text Char"/>
    <w:basedOn w:val="DefaultParagraphFont"/>
    <w:link w:val="CommentText"/>
    <w:uiPriority w:val="99"/>
    <w:semiHidden/>
    <w:rsid w:val="00A91F9C"/>
    <w:rPr>
      <w:rFonts w:ascii="Arial" w:hAnsi="Arial"/>
    </w:rPr>
  </w:style>
  <w:style w:type="character" w:styleId="CommentReference">
    <w:name w:val="annotation reference"/>
    <w:basedOn w:val="DefaultParagraphFont"/>
    <w:uiPriority w:val="99"/>
    <w:semiHidden/>
    <w:unhideWhenUsed/>
    <w:rsid w:val="00A91F9C"/>
    <w:rPr>
      <w:sz w:val="16"/>
      <w:szCs w:val="16"/>
    </w:rPr>
  </w:style>
  <w:style w:type="paragraph" w:styleId="FootnoteText">
    <w:name w:val="footnote text"/>
    <w:basedOn w:val="Normal"/>
    <w:link w:val="FootnoteTextChar"/>
    <w:uiPriority w:val="99"/>
    <w:semiHidden/>
    <w:unhideWhenUsed/>
    <w:rsid w:val="00FA0CD0"/>
  </w:style>
  <w:style w:type="character" w:customStyle="1" w:styleId="FootnoteTextChar">
    <w:name w:val="Footnote Text Char"/>
    <w:basedOn w:val="DefaultParagraphFont"/>
    <w:link w:val="FootnoteText"/>
    <w:uiPriority w:val="99"/>
    <w:semiHidden/>
    <w:rsid w:val="00FA0CD0"/>
    <w:rPr>
      <w:rFonts w:ascii="Arial" w:hAnsi="Arial"/>
    </w:rPr>
  </w:style>
  <w:style w:type="character" w:styleId="FootnoteReference">
    <w:name w:val="footnote reference"/>
    <w:basedOn w:val="DefaultParagraphFont"/>
    <w:uiPriority w:val="99"/>
    <w:semiHidden/>
    <w:unhideWhenUsed/>
    <w:rsid w:val="00FA0CD0"/>
    <w:rPr>
      <w:vertAlign w:val="superscript"/>
    </w:rPr>
  </w:style>
  <w:style w:type="paragraph" w:styleId="TOCHeading">
    <w:name w:val="TOC Heading"/>
    <w:basedOn w:val="Heading1"/>
    <w:next w:val="Normal"/>
    <w:uiPriority w:val="39"/>
    <w:unhideWhenUsed/>
    <w:qFormat/>
    <w:rsid w:val="00B3619E"/>
    <w:pPr>
      <w:outlineLvl w:val="9"/>
    </w:pPr>
  </w:style>
  <w:style w:type="paragraph" w:styleId="Revision">
    <w:name w:val="Revision"/>
    <w:hidden/>
    <w:uiPriority w:val="99"/>
    <w:semiHidden/>
    <w:rsid w:val="00505263"/>
    <w:rPr>
      <w:rFonts w:ascii="Arial" w:hAnsi="Arial"/>
    </w:rPr>
  </w:style>
  <w:style w:type="character" w:customStyle="1" w:styleId="FooterChar">
    <w:name w:val="Footer Char"/>
    <w:aliases w:val="f1 Char,f12 Char,f13 Char,f14 Char"/>
    <w:basedOn w:val="DefaultParagraphFont"/>
    <w:link w:val="Footer"/>
    <w:uiPriority w:val="99"/>
    <w:rsid w:val="003115B3"/>
    <w:rPr>
      <w:rFonts w:ascii="Arial" w:hAnsi="Arial"/>
    </w:rPr>
  </w:style>
  <w:style w:type="character" w:customStyle="1" w:styleId="st1">
    <w:name w:val="st1"/>
    <w:basedOn w:val="DefaultParagraphFont"/>
    <w:rsid w:val="00A410B7"/>
  </w:style>
  <w:style w:type="character" w:customStyle="1" w:styleId="HeaderChar">
    <w:name w:val="Header Char"/>
    <w:basedOn w:val="DefaultParagraphFont"/>
    <w:link w:val="Header"/>
    <w:uiPriority w:val="99"/>
    <w:rsid w:val="00A26A90"/>
  </w:style>
  <w:style w:type="table" w:customStyle="1" w:styleId="LightGrid-Accent12">
    <w:name w:val="Light Grid - Accent 12"/>
    <w:basedOn w:val="TableNormal"/>
    <w:uiPriority w:val="62"/>
    <w:rsid w:val="00834EF7"/>
    <w:tblPr>
      <w:tblStyleRowBandSize w:val="1"/>
      <w:tblStyleColBandSize w:val="1"/>
      <w:tblInd w:w="0" w:type="dxa"/>
      <w:tblBorders>
        <w:top w:val="single" w:sz="8" w:space="0" w:color="727CA3" w:themeColor="accent1"/>
        <w:left w:val="single" w:sz="8" w:space="0" w:color="727CA3" w:themeColor="accent1"/>
        <w:bottom w:val="single" w:sz="8" w:space="0" w:color="727CA3" w:themeColor="accent1"/>
        <w:right w:val="single" w:sz="8" w:space="0" w:color="727CA3" w:themeColor="accent1"/>
        <w:insideH w:val="single" w:sz="8" w:space="0" w:color="727CA3" w:themeColor="accent1"/>
        <w:insideV w:val="single" w:sz="8" w:space="0" w:color="727CA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18" w:space="0" w:color="727CA3" w:themeColor="accent1"/>
          <w:right w:val="single" w:sz="8" w:space="0" w:color="727CA3" w:themeColor="accent1"/>
          <w:insideH w:val="nil"/>
          <w:insideV w:val="single" w:sz="8" w:space="0" w:color="727CA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CA3" w:themeColor="accent1"/>
          <w:left w:val="single" w:sz="8" w:space="0" w:color="727CA3" w:themeColor="accent1"/>
          <w:bottom w:val="single" w:sz="8" w:space="0" w:color="727CA3" w:themeColor="accent1"/>
          <w:right w:val="single" w:sz="8" w:space="0" w:color="727CA3" w:themeColor="accent1"/>
          <w:insideH w:val="nil"/>
          <w:insideV w:val="single" w:sz="8" w:space="0" w:color="727CA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tcPr>
    </w:tblStylePr>
    <w:tblStylePr w:type="band1Vert">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shd w:val="clear" w:color="auto" w:fill="DCDEE8" w:themeFill="accent1" w:themeFillTint="3F"/>
      </w:tcPr>
    </w:tblStylePr>
    <w:tblStylePr w:type="band1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shd w:val="clear" w:color="auto" w:fill="DCDEE8" w:themeFill="accent1" w:themeFillTint="3F"/>
      </w:tcPr>
    </w:tblStylePr>
    <w:tblStylePr w:type="band2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tcPr>
    </w:tblStylePr>
  </w:style>
  <w:style w:type="character" w:customStyle="1" w:styleId="Heading1Char">
    <w:name w:val="Heading 1 Char"/>
    <w:basedOn w:val="DefaultParagraphFont"/>
    <w:link w:val="Heading1"/>
    <w:uiPriority w:val="9"/>
    <w:rsid w:val="00B3619E"/>
    <w:rPr>
      <w:rFonts w:eastAsiaTheme="majorEastAsia" w:cstheme="majorBidi"/>
      <w:caps/>
      <w:color w:val="3E5D78" w:themeColor="accent2" w:themeShade="80"/>
      <w:spacing w:val="20"/>
      <w:sz w:val="28"/>
      <w:szCs w:val="28"/>
    </w:rPr>
  </w:style>
  <w:style w:type="character" w:customStyle="1" w:styleId="Heading2Char">
    <w:name w:val="Heading 2 Char"/>
    <w:aliases w:val="H2 Char"/>
    <w:basedOn w:val="DefaultParagraphFont"/>
    <w:link w:val="Heading2"/>
    <w:uiPriority w:val="9"/>
    <w:rsid w:val="00D903CD"/>
    <w:rPr>
      <w:caps/>
      <w:color w:val="3E5D78" w:themeColor="accent2" w:themeShade="80"/>
      <w:spacing w:val="15"/>
      <w:kern w:val="24"/>
      <w:sz w:val="24"/>
      <w:szCs w:val="24"/>
    </w:rPr>
  </w:style>
  <w:style w:type="character" w:customStyle="1" w:styleId="Heading3Char">
    <w:name w:val="Heading 3 Char"/>
    <w:basedOn w:val="DefaultParagraphFont"/>
    <w:link w:val="Heading3"/>
    <w:uiPriority w:val="9"/>
    <w:rsid w:val="00B3619E"/>
    <w:rPr>
      <w:rFonts w:eastAsiaTheme="majorEastAsia" w:cstheme="majorBidi"/>
      <w:caps/>
      <w:color w:val="3E5C77" w:themeColor="accent2" w:themeShade="7F"/>
      <w:sz w:val="24"/>
      <w:szCs w:val="24"/>
    </w:rPr>
  </w:style>
  <w:style w:type="character" w:customStyle="1" w:styleId="Heading4Char">
    <w:name w:val="Heading 4 Char"/>
    <w:aliases w:val="Heading 4 Indented Char"/>
    <w:basedOn w:val="DefaultParagraphFont"/>
    <w:link w:val="Heading4"/>
    <w:uiPriority w:val="9"/>
    <w:rsid w:val="00B3619E"/>
    <w:rPr>
      <w:rFonts w:eastAsiaTheme="majorEastAsia" w:cstheme="majorBidi"/>
      <w:caps/>
      <w:color w:val="3E5C77" w:themeColor="accent2" w:themeShade="7F"/>
      <w:spacing w:val="10"/>
    </w:rPr>
  </w:style>
  <w:style w:type="character" w:customStyle="1" w:styleId="Heading5Char">
    <w:name w:val="Heading 5 Char"/>
    <w:basedOn w:val="DefaultParagraphFont"/>
    <w:link w:val="Heading5"/>
    <w:uiPriority w:val="9"/>
    <w:rsid w:val="00B3619E"/>
    <w:rPr>
      <w:rFonts w:eastAsiaTheme="majorEastAsia" w:cstheme="majorBidi"/>
      <w:caps/>
      <w:color w:val="3E5C77" w:themeColor="accent2" w:themeShade="7F"/>
      <w:spacing w:val="10"/>
    </w:rPr>
  </w:style>
  <w:style w:type="character" w:customStyle="1" w:styleId="Heading6Char">
    <w:name w:val="Heading 6 Char"/>
    <w:basedOn w:val="DefaultParagraphFont"/>
    <w:link w:val="Heading6"/>
    <w:uiPriority w:val="9"/>
    <w:rsid w:val="00B3619E"/>
    <w:rPr>
      <w:rFonts w:eastAsiaTheme="majorEastAsia" w:cstheme="majorBidi"/>
      <w:caps/>
      <w:color w:val="628BAD" w:themeColor="accent2" w:themeShade="BF"/>
      <w:spacing w:val="10"/>
    </w:rPr>
  </w:style>
  <w:style w:type="character" w:customStyle="1" w:styleId="Heading7Char">
    <w:name w:val="Heading 7 Char"/>
    <w:basedOn w:val="DefaultParagraphFont"/>
    <w:link w:val="Heading7"/>
    <w:uiPriority w:val="9"/>
    <w:rsid w:val="00B3619E"/>
    <w:rPr>
      <w:rFonts w:eastAsiaTheme="majorEastAsia" w:cstheme="majorBidi"/>
      <w:i/>
      <w:iCs/>
      <w:caps/>
      <w:color w:val="628BAD" w:themeColor="accent2" w:themeShade="BF"/>
      <w:spacing w:val="10"/>
    </w:rPr>
  </w:style>
  <w:style w:type="character" w:customStyle="1" w:styleId="Heading8Char">
    <w:name w:val="Heading 8 Char"/>
    <w:basedOn w:val="DefaultParagraphFont"/>
    <w:link w:val="Heading8"/>
    <w:uiPriority w:val="9"/>
    <w:rsid w:val="00B3619E"/>
    <w:rPr>
      <w:rFonts w:eastAsiaTheme="majorEastAsia" w:cstheme="majorBidi"/>
      <w:caps/>
      <w:spacing w:val="10"/>
      <w:sz w:val="20"/>
      <w:szCs w:val="20"/>
    </w:rPr>
  </w:style>
  <w:style w:type="character" w:customStyle="1" w:styleId="Heading9Char">
    <w:name w:val="Heading 9 Char"/>
    <w:basedOn w:val="DefaultParagraphFont"/>
    <w:link w:val="Heading9"/>
    <w:uiPriority w:val="9"/>
    <w:rsid w:val="00B3619E"/>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3619E"/>
    <w:rPr>
      <w:caps/>
      <w:spacing w:val="10"/>
      <w:sz w:val="18"/>
      <w:szCs w:val="18"/>
    </w:rPr>
  </w:style>
  <w:style w:type="character" w:customStyle="1" w:styleId="TitleChar">
    <w:name w:val="Title Char"/>
    <w:basedOn w:val="DefaultParagraphFont"/>
    <w:link w:val="Title"/>
    <w:uiPriority w:val="10"/>
    <w:rsid w:val="00B3619E"/>
    <w:rPr>
      <w:rFonts w:eastAsiaTheme="majorEastAsia" w:cstheme="majorBidi"/>
      <w:caps/>
      <w:color w:val="3E5D78" w:themeColor="accent2" w:themeShade="80"/>
      <w:spacing w:val="50"/>
      <w:sz w:val="44"/>
      <w:szCs w:val="44"/>
    </w:rPr>
  </w:style>
  <w:style w:type="paragraph" w:styleId="Subtitle">
    <w:name w:val="Subtitle"/>
    <w:basedOn w:val="Normal"/>
    <w:next w:val="Normal"/>
    <w:link w:val="SubtitleChar"/>
    <w:uiPriority w:val="11"/>
    <w:qFormat/>
    <w:rsid w:val="00B3619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3619E"/>
    <w:rPr>
      <w:rFonts w:eastAsiaTheme="majorEastAsia" w:cstheme="majorBidi"/>
      <w:caps/>
      <w:spacing w:val="20"/>
      <w:sz w:val="18"/>
      <w:szCs w:val="18"/>
    </w:rPr>
  </w:style>
  <w:style w:type="character" w:styleId="Emphasis">
    <w:name w:val="Emphasis"/>
    <w:uiPriority w:val="20"/>
    <w:qFormat/>
    <w:rsid w:val="00B3619E"/>
    <w:rPr>
      <w:caps/>
      <w:spacing w:val="5"/>
      <w:sz w:val="20"/>
      <w:szCs w:val="20"/>
    </w:rPr>
  </w:style>
  <w:style w:type="paragraph" w:styleId="NoSpacing">
    <w:name w:val="No Spacing"/>
    <w:basedOn w:val="Normal"/>
    <w:link w:val="NoSpacingChar"/>
    <w:uiPriority w:val="1"/>
    <w:qFormat/>
    <w:rsid w:val="00B3619E"/>
    <w:pPr>
      <w:spacing w:after="0" w:line="240" w:lineRule="auto"/>
    </w:pPr>
  </w:style>
  <w:style w:type="character" w:customStyle="1" w:styleId="NoSpacingChar">
    <w:name w:val="No Spacing Char"/>
    <w:basedOn w:val="DefaultParagraphFont"/>
    <w:link w:val="NoSpacing"/>
    <w:uiPriority w:val="1"/>
    <w:rsid w:val="00B3619E"/>
  </w:style>
  <w:style w:type="paragraph" w:styleId="Quote">
    <w:name w:val="Quote"/>
    <w:basedOn w:val="Normal"/>
    <w:next w:val="Normal"/>
    <w:link w:val="QuoteChar"/>
    <w:uiPriority w:val="29"/>
    <w:qFormat/>
    <w:rsid w:val="00B3619E"/>
    <w:rPr>
      <w:i/>
      <w:iCs/>
    </w:rPr>
  </w:style>
  <w:style w:type="character" w:customStyle="1" w:styleId="QuoteChar">
    <w:name w:val="Quote Char"/>
    <w:basedOn w:val="DefaultParagraphFont"/>
    <w:link w:val="Quote"/>
    <w:uiPriority w:val="29"/>
    <w:rsid w:val="00B3619E"/>
    <w:rPr>
      <w:rFonts w:eastAsiaTheme="majorEastAsia" w:cstheme="majorBidi"/>
      <w:i/>
      <w:iCs/>
    </w:rPr>
  </w:style>
  <w:style w:type="paragraph" w:styleId="IntenseQuote">
    <w:name w:val="Intense Quote"/>
    <w:basedOn w:val="Normal"/>
    <w:next w:val="Normal"/>
    <w:link w:val="IntenseQuoteChar"/>
    <w:uiPriority w:val="30"/>
    <w:qFormat/>
    <w:rsid w:val="00B3619E"/>
    <w:pPr>
      <w:pBdr>
        <w:top w:val="dotted" w:sz="2" w:space="10" w:color="3E5D78" w:themeColor="accent2" w:themeShade="80"/>
        <w:bottom w:val="dotted" w:sz="2" w:space="4" w:color="3E5D78" w:themeColor="accent2" w:themeShade="80"/>
      </w:pBdr>
      <w:spacing w:before="160" w:line="300" w:lineRule="auto"/>
      <w:ind w:left="1440" w:right="1440"/>
    </w:pPr>
    <w:rPr>
      <w:caps/>
      <w:color w:val="3E5C77" w:themeColor="accent2" w:themeShade="7F"/>
      <w:spacing w:val="5"/>
      <w:sz w:val="20"/>
      <w:szCs w:val="20"/>
    </w:rPr>
  </w:style>
  <w:style w:type="character" w:customStyle="1" w:styleId="IntenseQuoteChar">
    <w:name w:val="Intense Quote Char"/>
    <w:basedOn w:val="DefaultParagraphFont"/>
    <w:link w:val="IntenseQuote"/>
    <w:uiPriority w:val="30"/>
    <w:rsid w:val="00B3619E"/>
    <w:rPr>
      <w:rFonts w:eastAsiaTheme="majorEastAsia" w:cstheme="majorBidi"/>
      <w:caps/>
      <w:color w:val="3E5C77" w:themeColor="accent2" w:themeShade="7F"/>
      <w:spacing w:val="5"/>
      <w:sz w:val="20"/>
      <w:szCs w:val="20"/>
    </w:rPr>
  </w:style>
  <w:style w:type="character" w:styleId="SubtleEmphasis">
    <w:name w:val="Subtle Emphasis"/>
    <w:uiPriority w:val="19"/>
    <w:qFormat/>
    <w:rsid w:val="00B3619E"/>
    <w:rPr>
      <w:i/>
      <w:iCs/>
    </w:rPr>
  </w:style>
  <w:style w:type="character" w:styleId="IntenseEmphasis">
    <w:name w:val="Intense Emphasis"/>
    <w:uiPriority w:val="21"/>
    <w:qFormat/>
    <w:rsid w:val="00B3619E"/>
    <w:rPr>
      <w:i/>
      <w:iCs/>
      <w:caps/>
      <w:spacing w:val="10"/>
      <w:sz w:val="20"/>
      <w:szCs w:val="20"/>
    </w:rPr>
  </w:style>
  <w:style w:type="character" w:styleId="SubtleReference">
    <w:name w:val="Subtle Reference"/>
    <w:basedOn w:val="DefaultParagraphFont"/>
    <w:uiPriority w:val="31"/>
    <w:qFormat/>
    <w:rsid w:val="00B3619E"/>
    <w:rPr>
      <w:rFonts w:asciiTheme="minorHAnsi" w:eastAsiaTheme="minorEastAsia" w:hAnsiTheme="minorHAnsi" w:cstheme="minorBidi"/>
      <w:i/>
      <w:iCs/>
      <w:color w:val="3E5C77" w:themeColor="accent2" w:themeShade="7F"/>
    </w:rPr>
  </w:style>
  <w:style w:type="character" w:styleId="IntenseReference">
    <w:name w:val="Intense Reference"/>
    <w:uiPriority w:val="32"/>
    <w:qFormat/>
    <w:rsid w:val="00B3619E"/>
    <w:rPr>
      <w:rFonts w:asciiTheme="minorHAnsi" w:eastAsiaTheme="minorEastAsia" w:hAnsiTheme="minorHAnsi" w:cstheme="minorBidi"/>
      <w:b/>
      <w:bCs/>
      <w:i/>
      <w:iCs/>
      <w:color w:val="3E5C77" w:themeColor="accent2" w:themeShade="7F"/>
    </w:rPr>
  </w:style>
  <w:style w:type="character" w:styleId="BookTitle">
    <w:name w:val="Book Title"/>
    <w:uiPriority w:val="33"/>
    <w:qFormat/>
    <w:rsid w:val="00B3619E"/>
    <w:rPr>
      <w:caps/>
      <w:color w:val="3E5C77" w:themeColor="accent2" w:themeShade="7F"/>
      <w:spacing w:val="5"/>
      <w:u w:color="3E5C77" w:themeColor="accent2" w:themeShade="7F"/>
    </w:rPr>
  </w:style>
  <w:style w:type="table" w:customStyle="1" w:styleId="LightGrid-Accent13">
    <w:name w:val="Light Grid - Accent 13"/>
    <w:basedOn w:val="TableNormal"/>
    <w:uiPriority w:val="62"/>
    <w:rsid w:val="00CB20C6"/>
    <w:pPr>
      <w:spacing w:after="0" w:line="240" w:lineRule="auto"/>
      <w:jc w:val="both"/>
    </w:pPr>
    <w:rPr>
      <w:rFonts w:asciiTheme="minorHAnsi" w:eastAsiaTheme="minorHAnsi" w:hAnsiTheme="minorHAnsi" w:cstheme="minorBidi"/>
      <w:lang w:bidi="ar-SA"/>
    </w:rPr>
    <w:tblPr>
      <w:tblStyleRowBandSize w:val="1"/>
      <w:tblStyleColBandSize w:val="1"/>
      <w:tblInd w:w="0" w:type="dxa"/>
      <w:tblBorders>
        <w:top w:val="single" w:sz="8" w:space="0" w:color="727CA3" w:themeColor="accent1"/>
        <w:left w:val="single" w:sz="8" w:space="0" w:color="727CA3" w:themeColor="accent1"/>
        <w:bottom w:val="single" w:sz="8" w:space="0" w:color="727CA3" w:themeColor="accent1"/>
        <w:right w:val="single" w:sz="8" w:space="0" w:color="727CA3" w:themeColor="accent1"/>
        <w:insideH w:val="single" w:sz="8" w:space="0" w:color="727CA3" w:themeColor="accent1"/>
        <w:insideV w:val="single" w:sz="8" w:space="0" w:color="727CA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18" w:space="0" w:color="727CA3" w:themeColor="accent1"/>
          <w:right w:val="single" w:sz="8" w:space="0" w:color="727CA3" w:themeColor="accent1"/>
          <w:insideH w:val="nil"/>
          <w:insideV w:val="single" w:sz="8" w:space="0" w:color="727CA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CA3" w:themeColor="accent1"/>
          <w:left w:val="single" w:sz="8" w:space="0" w:color="727CA3" w:themeColor="accent1"/>
          <w:bottom w:val="single" w:sz="8" w:space="0" w:color="727CA3" w:themeColor="accent1"/>
          <w:right w:val="single" w:sz="8" w:space="0" w:color="727CA3" w:themeColor="accent1"/>
          <w:insideH w:val="nil"/>
          <w:insideV w:val="single" w:sz="8" w:space="0" w:color="727CA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tcPr>
    </w:tblStylePr>
    <w:tblStylePr w:type="band1Vert">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shd w:val="clear" w:color="auto" w:fill="DCDEE8" w:themeFill="accent1" w:themeFillTint="3F"/>
      </w:tcPr>
    </w:tblStylePr>
    <w:tblStylePr w:type="band1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shd w:val="clear" w:color="auto" w:fill="DCDEE8" w:themeFill="accent1" w:themeFillTint="3F"/>
      </w:tcPr>
    </w:tblStylePr>
    <w:tblStylePr w:type="band2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tcPr>
    </w:tblStylePr>
  </w:style>
  <w:style w:type="paragraph" w:styleId="EndnoteText">
    <w:name w:val="endnote text"/>
    <w:basedOn w:val="Normal"/>
    <w:link w:val="EndnoteTextChar"/>
    <w:uiPriority w:val="99"/>
    <w:unhideWhenUsed/>
    <w:rsid w:val="00AB2D03"/>
    <w:pPr>
      <w:spacing w:after="0" w:line="240" w:lineRule="auto"/>
    </w:pPr>
    <w:rPr>
      <w:sz w:val="20"/>
      <w:szCs w:val="20"/>
    </w:rPr>
  </w:style>
  <w:style w:type="character" w:customStyle="1" w:styleId="EndnoteTextChar">
    <w:name w:val="Endnote Text Char"/>
    <w:basedOn w:val="DefaultParagraphFont"/>
    <w:link w:val="EndnoteText"/>
    <w:uiPriority w:val="99"/>
    <w:rsid w:val="00AB2D03"/>
    <w:rPr>
      <w:sz w:val="20"/>
      <w:szCs w:val="20"/>
    </w:rPr>
  </w:style>
  <w:style w:type="character" w:styleId="EndnoteReference">
    <w:name w:val="endnote reference"/>
    <w:basedOn w:val="DefaultParagraphFont"/>
    <w:uiPriority w:val="99"/>
    <w:semiHidden/>
    <w:unhideWhenUsed/>
    <w:rsid w:val="00AB2D03"/>
    <w:rPr>
      <w:vertAlign w:val="superscript"/>
    </w:rPr>
  </w:style>
  <w:style w:type="paragraph" w:styleId="CommentSubject">
    <w:name w:val="annotation subject"/>
    <w:basedOn w:val="CommentText"/>
    <w:next w:val="CommentText"/>
    <w:link w:val="CommentSubjectChar"/>
    <w:uiPriority w:val="99"/>
    <w:semiHidden/>
    <w:unhideWhenUsed/>
    <w:rsid w:val="00122AB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122AB9"/>
    <w:rPr>
      <w:rFonts w:ascii="Arial" w:hAnsi="Arial"/>
      <w:b/>
      <w:bCs/>
      <w:sz w:val="20"/>
      <w:szCs w:val="20"/>
    </w:rPr>
  </w:style>
  <w:style w:type="paragraph" w:customStyle="1" w:styleId="Default">
    <w:name w:val="Default"/>
    <w:rsid w:val="008E10E1"/>
    <w:pPr>
      <w:widowControl w:val="0"/>
      <w:autoSpaceDE w:val="0"/>
      <w:autoSpaceDN w:val="0"/>
      <w:adjustRightInd w:val="0"/>
      <w:spacing w:after="0" w:line="240" w:lineRule="auto"/>
    </w:pPr>
    <w:rPr>
      <w:rFonts w:ascii="Arial" w:hAnsi="Arial" w:cs="Arial"/>
      <w:color w:val="000000"/>
      <w:sz w:val="24"/>
      <w:szCs w:val="24"/>
      <w:lang w:bidi="ar-SA"/>
    </w:rPr>
  </w:style>
  <w:style w:type="table" w:customStyle="1" w:styleId="LightList1">
    <w:name w:val="Light List1"/>
    <w:basedOn w:val="TableNormal"/>
    <w:uiPriority w:val="61"/>
    <w:rsid w:val="00306F7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phy">
    <w:name w:val="Bibliography"/>
    <w:basedOn w:val="Normal"/>
    <w:next w:val="Normal"/>
    <w:uiPriority w:val="37"/>
    <w:semiHidden/>
    <w:unhideWhenUsed/>
    <w:rsid w:val="00FD7D34"/>
  </w:style>
  <w:style w:type="paragraph" w:styleId="BlockText">
    <w:name w:val="Block Text"/>
    <w:basedOn w:val="Normal"/>
    <w:uiPriority w:val="99"/>
    <w:semiHidden/>
    <w:unhideWhenUsed/>
    <w:rsid w:val="00FD7D34"/>
    <w:pPr>
      <w:pBdr>
        <w:top w:val="single" w:sz="2" w:space="10" w:color="727CA3" w:themeColor="accent1" w:frame="1"/>
        <w:left w:val="single" w:sz="2" w:space="10" w:color="727CA3" w:themeColor="accent1" w:frame="1"/>
        <w:bottom w:val="single" w:sz="2" w:space="10" w:color="727CA3" w:themeColor="accent1" w:frame="1"/>
        <w:right w:val="single" w:sz="2" w:space="10" w:color="727CA3" w:themeColor="accent1" w:frame="1"/>
      </w:pBdr>
      <w:ind w:left="1152" w:right="1152"/>
    </w:pPr>
    <w:rPr>
      <w:rFonts w:asciiTheme="minorHAnsi" w:eastAsiaTheme="minorEastAsia" w:hAnsiTheme="minorHAnsi" w:cstheme="minorBidi"/>
      <w:i/>
      <w:iCs/>
      <w:color w:val="727CA3" w:themeColor="accent1"/>
    </w:rPr>
  </w:style>
  <w:style w:type="paragraph" w:styleId="BodyText3">
    <w:name w:val="Body Text 3"/>
    <w:basedOn w:val="Normal"/>
    <w:link w:val="BodyText3Char"/>
    <w:uiPriority w:val="99"/>
    <w:semiHidden/>
    <w:unhideWhenUsed/>
    <w:rsid w:val="00FD7D34"/>
    <w:pPr>
      <w:spacing w:after="120"/>
    </w:pPr>
    <w:rPr>
      <w:sz w:val="16"/>
      <w:szCs w:val="16"/>
    </w:rPr>
  </w:style>
  <w:style w:type="character" w:customStyle="1" w:styleId="BodyText3Char">
    <w:name w:val="Body Text 3 Char"/>
    <w:basedOn w:val="DefaultParagraphFont"/>
    <w:link w:val="BodyText3"/>
    <w:uiPriority w:val="99"/>
    <w:semiHidden/>
    <w:rsid w:val="00FD7D34"/>
    <w:rPr>
      <w:sz w:val="16"/>
      <w:szCs w:val="16"/>
    </w:rPr>
  </w:style>
  <w:style w:type="paragraph" w:styleId="BodyTextFirstIndent">
    <w:name w:val="Body Text First Indent"/>
    <w:basedOn w:val="BodyText"/>
    <w:link w:val="BodyTextFirstIndentChar"/>
    <w:uiPriority w:val="99"/>
    <w:semiHidden/>
    <w:unhideWhenUsed/>
    <w:rsid w:val="00FD7D34"/>
    <w:pPr>
      <w:spacing w:before="0" w:after="200"/>
      <w:ind w:firstLine="360"/>
    </w:pPr>
    <w:rPr>
      <w:rFonts w:asciiTheme="majorHAnsi" w:hAnsiTheme="majorHAnsi"/>
    </w:rPr>
  </w:style>
  <w:style w:type="character" w:customStyle="1" w:styleId="BodyTextFirstIndentChar">
    <w:name w:val="Body Text First Indent Char"/>
    <w:basedOn w:val="BodyTextChar1"/>
    <w:link w:val="BodyTextFirstIndent"/>
    <w:uiPriority w:val="99"/>
    <w:semiHidden/>
    <w:rsid w:val="00FD7D34"/>
    <w:rPr>
      <w:sz w:val="22"/>
      <w:lang w:val="en-US" w:eastAsia="en-US" w:bidi="ar-SA"/>
    </w:rPr>
  </w:style>
  <w:style w:type="paragraph" w:styleId="BodyTextFirstIndent2">
    <w:name w:val="Body Text First Indent 2"/>
    <w:basedOn w:val="BodyTextIndent"/>
    <w:link w:val="BodyTextFirstIndent2Char"/>
    <w:uiPriority w:val="99"/>
    <w:semiHidden/>
    <w:unhideWhenUsed/>
    <w:rsid w:val="00FD7D34"/>
    <w:pPr>
      <w:ind w:left="360" w:firstLine="360"/>
    </w:pPr>
    <w:rPr>
      <w:rFonts w:asciiTheme="majorHAnsi" w:hAnsiTheme="majorHAnsi"/>
      <w:snapToGrid/>
      <w:color w:val="auto"/>
    </w:rPr>
  </w:style>
  <w:style w:type="character" w:customStyle="1" w:styleId="BodyTextIndentChar">
    <w:name w:val="Body Text Indent Char"/>
    <w:basedOn w:val="DefaultParagraphFont"/>
    <w:link w:val="BodyTextIndent"/>
    <w:rsid w:val="00FD7D34"/>
    <w:rPr>
      <w:rFonts w:ascii="Courier New" w:hAnsi="Courier New"/>
      <w:snapToGrid w:val="0"/>
      <w:color w:val="000000"/>
    </w:rPr>
  </w:style>
  <w:style w:type="character" w:customStyle="1" w:styleId="BodyTextFirstIndent2Char">
    <w:name w:val="Body Text First Indent 2 Char"/>
    <w:basedOn w:val="BodyTextIndentChar"/>
    <w:link w:val="BodyTextFirstIndent2"/>
    <w:rsid w:val="00FD7D34"/>
    <w:rPr>
      <w:rFonts w:ascii="Courier New" w:hAnsi="Courier New"/>
      <w:snapToGrid w:val="0"/>
      <w:color w:val="000000"/>
    </w:rPr>
  </w:style>
  <w:style w:type="paragraph" w:styleId="BodyTextIndent2">
    <w:name w:val="Body Text Indent 2"/>
    <w:basedOn w:val="Normal"/>
    <w:link w:val="BodyTextIndent2Char"/>
    <w:uiPriority w:val="99"/>
    <w:semiHidden/>
    <w:unhideWhenUsed/>
    <w:rsid w:val="00FD7D34"/>
    <w:pPr>
      <w:spacing w:after="120" w:line="480" w:lineRule="auto"/>
      <w:ind w:left="360"/>
    </w:pPr>
  </w:style>
  <w:style w:type="character" w:customStyle="1" w:styleId="BodyTextIndent2Char">
    <w:name w:val="Body Text Indent 2 Char"/>
    <w:basedOn w:val="DefaultParagraphFont"/>
    <w:link w:val="BodyTextIndent2"/>
    <w:uiPriority w:val="99"/>
    <w:semiHidden/>
    <w:rsid w:val="00FD7D34"/>
  </w:style>
  <w:style w:type="paragraph" w:styleId="BodyTextIndent3">
    <w:name w:val="Body Text Indent 3"/>
    <w:basedOn w:val="Normal"/>
    <w:link w:val="BodyTextIndent3Char"/>
    <w:uiPriority w:val="99"/>
    <w:semiHidden/>
    <w:unhideWhenUsed/>
    <w:rsid w:val="00FD7D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7D34"/>
    <w:rPr>
      <w:sz w:val="16"/>
      <w:szCs w:val="16"/>
    </w:rPr>
  </w:style>
  <w:style w:type="paragraph" w:styleId="Closing">
    <w:name w:val="Closing"/>
    <w:basedOn w:val="Normal"/>
    <w:link w:val="ClosingChar"/>
    <w:uiPriority w:val="99"/>
    <w:semiHidden/>
    <w:unhideWhenUsed/>
    <w:rsid w:val="00FD7D34"/>
    <w:pPr>
      <w:spacing w:after="0" w:line="240" w:lineRule="auto"/>
      <w:ind w:left="4320"/>
    </w:pPr>
  </w:style>
  <w:style w:type="character" w:customStyle="1" w:styleId="ClosingChar">
    <w:name w:val="Closing Char"/>
    <w:basedOn w:val="DefaultParagraphFont"/>
    <w:link w:val="Closing"/>
    <w:uiPriority w:val="99"/>
    <w:semiHidden/>
    <w:rsid w:val="00FD7D34"/>
  </w:style>
  <w:style w:type="paragraph" w:styleId="Date">
    <w:name w:val="Date"/>
    <w:basedOn w:val="Normal"/>
    <w:next w:val="Normal"/>
    <w:link w:val="DateChar"/>
    <w:uiPriority w:val="99"/>
    <w:semiHidden/>
    <w:unhideWhenUsed/>
    <w:rsid w:val="00FD7D34"/>
  </w:style>
  <w:style w:type="character" w:customStyle="1" w:styleId="DateChar">
    <w:name w:val="Date Char"/>
    <w:basedOn w:val="DefaultParagraphFont"/>
    <w:link w:val="Date"/>
    <w:uiPriority w:val="99"/>
    <w:semiHidden/>
    <w:rsid w:val="00FD7D34"/>
  </w:style>
  <w:style w:type="paragraph" w:styleId="E-mailSignature">
    <w:name w:val="E-mail Signature"/>
    <w:basedOn w:val="Normal"/>
    <w:link w:val="E-mailSignatureChar"/>
    <w:uiPriority w:val="99"/>
    <w:semiHidden/>
    <w:unhideWhenUsed/>
    <w:rsid w:val="00FD7D34"/>
    <w:pPr>
      <w:spacing w:after="0" w:line="240" w:lineRule="auto"/>
    </w:pPr>
  </w:style>
  <w:style w:type="character" w:customStyle="1" w:styleId="E-mailSignatureChar">
    <w:name w:val="E-mail Signature Char"/>
    <w:basedOn w:val="DefaultParagraphFont"/>
    <w:link w:val="E-mailSignature"/>
    <w:uiPriority w:val="99"/>
    <w:semiHidden/>
    <w:rsid w:val="00FD7D34"/>
  </w:style>
  <w:style w:type="paragraph" w:styleId="EnvelopeAddress">
    <w:name w:val="envelope address"/>
    <w:basedOn w:val="Normal"/>
    <w:uiPriority w:val="99"/>
    <w:semiHidden/>
    <w:unhideWhenUsed/>
    <w:rsid w:val="00FD7D34"/>
    <w:pPr>
      <w:framePr w:w="7920" w:h="1980" w:hRule="exact" w:hSpace="180" w:wrap="auto" w:hAnchor="page" w:xAlign="center" w:yAlign="bottom"/>
      <w:spacing w:after="0" w:line="240" w:lineRule="auto"/>
      <w:ind w:left="2880"/>
    </w:pPr>
    <w:rPr>
      <w:sz w:val="24"/>
      <w:szCs w:val="24"/>
    </w:rPr>
  </w:style>
  <w:style w:type="paragraph" w:styleId="EnvelopeReturn">
    <w:name w:val="envelope return"/>
    <w:basedOn w:val="Normal"/>
    <w:uiPriority w:val="99"/>
    <w:semiHidden/>
    <w:unhideWhenUsed/>
    <w:rsid w:val="00FD7D34"/>
    <w:pPr>
      <w:spacing w:after="0" w:line="240" w:lineRule="auto"/>
    </w:pPr>
    <w:rPr>
      <w:sz w:val="20"/>
      <w:szCs w:val="20"/>
    </w:rPr>
  </w:style>
  <w:style w:type="paragraph" w:styleId="HTMLAddress">
    <w:name w:val="HTML Address"/>
    <w:basedOn w:val="Normal"/>
    <w:link w:val="HTMLAddressChar"/>
    <w:uiPriority w:val="99"/>
    <w:semiHidden/>
    <w:unhideWhenUsed/>
    <w:rsid w:val="00FD7D34"/>
    <w:pPr>
      <w:spacing w:after="0" w:line="240" w:lineRule="auto"/>
    </w:pPr>
    <w:rPr>
      <w:i/>
      <w:iCs/>
    </w:rPr>
  </w:style>
  <w:style w:type="character" w:customStyle="1" w:styleId="HTMLAddressChar">
    <w:name w:val="HTML Address Char"/>
    <w:basedOn w:val="DefaultParagraphFont"/>
    <w:link w:val="HTMLAddress"/>
    <w:uiPriority w:val="99"/>
    <w:semiHidden/>
    <w:rsid w:val="00FD7D34"/>
    <w:rPr>
      <w:i/>
      <w:iCs/>
    </w:rPr>
  </w:style>
  <w:style w:type="paragraph" w:styleId="HTMLPreformatted">
    <w:name w:val="HTML Preformatted"/>
    <w:basedOn w:val="Normal"/>
    <w:link w:val="HTMLPreformattedChar"/>
    <w:uiPriority w:val="99"/>
    <w:semiHidden/>
    <w:unhideWhenUsed/>
    <w:rsid w:val="00FD7D3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7D34"/>
    <w:rPr>
      <w:rFonts w:ascii="Consolas" w:hAnsi="Consolas" w:cs="Consolas"/>
      <w:sz w:val="20"/>
      <w:szCs w:val="20"/>
    </w:rPr>
  </w:style>
  <w:style w:type="paragraph" w:styleId="Index1">
    <w:name w:val="index 1"/>
    <w:basedOn w:val="Normal"/>
    <w:next w:val="Normal"/>
    <w:autoRedefine/>
    <w:uiPriority w:val="99"/>
    <w:semiHidden/>
    <w:unhideWhenUsed/>
    <w:rsid w:val="00FD7D34"/>
    <w:pPr>
      <w:spacing w:after="0" w:line="240" w:lineRule="auto"/>
      <w:ind w:left="220" w:hanging="220"/>
    </w:pPr>
  </w:style>
  <w:style w:type="paragraph" w:styleId="Index2">
    <w:name w:val="index 2"/>
    <w:basedOn w:val="Normal"/>
    <w:next w:val="Normal"/>
    <w:autoRedefine/>
    <w:uiPriority w:val="99"/>
    <w:semiHidden/>
    <w:unhideWhenUsed/>
    <w:rsid w:val="00FD7D34"/>
    <w:pPr>
      <w:spacing w:after="0" w:line="240" w:lineRule="auto"/>
      <w:ind w:left="440" w:hanging="220"/>
    </w:pPr>
  </w:style>
  <w:style w:type="paragraph" w:styleId="Index3">
    <w:name w:val="index 3"/>
    <w:basedOn w:val="Normal"/>
    <w:next w:val="Normal"/>
    <w:autoRedefine/>
    <w:uiPriority w:val="99"/>
    <w:semiHidden/>
    <w:unhideWhenUsed/>
    <w:rsid w:val="00FD7D34"/>
    <w:pPr>
      <w:spacing w:after="0" w:line="240" w:lineRule="auto"/>
      <w:ind w:left="660" w:hanging="220"/>
    </w:pPr>
  </w:style>
  <w:style w:type="paragraph" w:styleId="Index4">
    <w:name w:val="index 4"/>
    <w:basedOn w:val="Normal"/>
    <w:next w:val="Normal"/>
    <w:autoRedefine/>
    <w:uiPriority w:val="99"/>
    <w:semiHidden/>
    <w:unhideWhenUsed/>
    <w:rsid w:val="00FD7D34"/>
    <w:pPr>
      <w:spacing w:after="0" w:line="240" w:lineRule="auto"/>
      <w:ind w:left="880" w:hanging="220"/>
    </w:pPr>
  </w:style>
  <w:style w:type="paragraph" w:styleId="Index5">
    <w:name w:val="index 5"/>
    <w:basedOn w:val="Normal"/>
    <w:next w:val="Normal"/>
    <w:autoRedefine/>
    <w:uiPriority w:val="99"/>
    <w:semiHidden/>
    <w:unhideWhenUsed/>
    <w:rsid w:val="00FD7D34"/>
    <w:pPr>
      <w:spacing w:after="0" w:line="240" w:lineRule="auto"/>
      <w:ind w:left="1100" w:hanging="220"/>
    </w:pPr>
  </w:style>
  <w:style w:type="paragraph" w:styleId="Index6">
    <w:name w:val="index 6"/>
    <w:basedOn w:val="Normal"/>
    <w:next w:val="Normal"/>
    <w:autoRedefine/>
    <w:uiPriority w:val="99"/>
    <w:semiHidden/>
    <w:unhideWhenUsed/>
    <w:rsid w:val="00FD7D34"/>
    <w:pPr>
      <w:spacing w:after="0" w:line="240" w:lineRule="auto"/>
      <w:ind w:left="1320" w:hanging="220"/>
    </w:pPr>
  </w:style>
  <w:style w:type="paragraph" w:styleId="Index7">
    <w:name w:val="index 7"/>
    <w:basedOn w:val="Normal"/>
    <w:next w:val="Normal"/>
    <w:autoRedefine/>
    <w:uiPriority w:val="99"/>
    <w:semiHidden/>
    <w:unhideWhenUsed/>
    <w:rsid w:val="00FD7D34"/>
    <w:pPr>
      <w:spacing w:after="0" w:line="240" w:lineRule="auto"/>
      <w:ind w:left="1540" w:hanging="220"/>
    </w:pPr>
  </w:style>
  <w:style w:type="paragraph" w:styleId="Index8">
    <w:name w:val="index 8"/>
    <w:basedOn w:val="Normal"/>
    <w:next w:val="Normal"/>
    <w:autoRedefine/>
    <w:uiPriority w:val="99"/>
    <w:semiHidden/>
    <w:unhideWhenUsed/>
    <w:rsid w:val="00FD7D34"/>
    <w:pPr>
      <w:spacing w:after="0" w:line="240" w:lineRule="auto"/>
      <w:ind w:left="1760" w:hanging="220"/>
    </w:pPr>
  </w:style>
  <w:style w:type="paragraph" w:styleId="Index9">
    <w:name w:val="index 9"/>
    <w:basedOn w:val="Normal"/>
    <w:next w:val="Normal"/>
    <w:autoRedefine/>
    <w:uiPriority w:val="99"/>
    <w:semiHidden/>
    <w:unhideWhenUsed/>
    <w:rsid w:val="00FD7D34"/>
    <w:pPr>
      <w:spacing w:after="0" w:line="240" w:lineRule="auto"/>
      <w:ind w:left="1980" w:hanging="220"/>
    </w:pPr>
  </w:style>
  <w:style w:type="paragraph" w:styleId="IndexHeading">
    <w:name w:val="index heading"/>
    <w:basedOn w:val="Normal"/>
    <w:next w:val="Index1"/>
    <w:uiPriority w:val="99"/>
    <w:semiHidden/>
    <w:unhideWhenUsed/>
    <w:rsid w:val="00FD7D34"/>
    <w:rPr>
      <w:b/>
      <w:bCs/>
    </w:rPr>
  </w:style>
  <w:style w:type="paragraph" w:styleId="List">
    <w:name w:val="List"/>
    <w:basedOn w:val="Normal"/>
    <w:uiPriority w:val="99"/>
    <w:semiHidden/>
    <w:unhideWhenUsed/>
    <w:rsid w:val="00FD7D34"/>
    <w:pPr>
      <w:ind w:left="360" w:hanging="360"/>
      <w:contextualSpacing/>
    </w:pPr>
  </w:style>
  <w:style w:type="paragraph" w:styleId="List2">
    <w:name w:val="List 2"/>
    <w:basedOn w:val="Normal"/>
    <w:uiPriority w:val="99"/>
    <w:semiHidden/>
    <w:unhideWhenUsed/>
    <w:rsid w:val="00FD7D34"/>
    <w:pPr>
      <w:ind w:left="720" w:hanging="360"/>
      <w:contextualSpacing/>
    </w:pPr>
  </w:style>
  <w:style w:type="paragraph" w:styleId="List3">
    <w:name w:val="List 3"/>
    <w:basedOn w:val="Normal"/>
    <w:uiPriority w:val="99"/>
    <w:semiHidden/>
    <w:unhideWhenUsed/>
    <w:rsid w:val="00FD7D34"/>
    <w:pPr>
      <w:ind w:left="1080" w:hanging="360"/>
      <w:contextualSpacing/>
    </w:pPr>
  </w:style>
  <w:style w:type="paragraph" w:styleId="List4">
    <w:name w:val="List 4"/>
    <w:basedOn w:val="Normal"/>
    <w:uiPriority w:val="99"/>
    <w:semiHidden/>
    <w:unhideWhenUsed/>
    <w:rsid w:val="00FD7D34"/>
    <w:pPr>
      <w:ind w:left="1440" w:hanging="360"/>
      <w:contextualSpacing/>
    </w:pPr>
  </w:style>
  <w:style w:type="paragraph" w:styleId="List5">
    <w:name w:val="List 5"/>
    <w:basedOn w:val="Normal"/>
    <w:uiPriority w:val="99"/>
    <w:semiHidden/>
    <w:unhideWhenUsed/>
    <w:rsid w:val="00FD7D34"/>
    <w:pPr>
      <w:ind w:left="1800" w:hanging="360"/>
      <w:contextualSpacing/>
    </w:pPr>
  </w:style>
  <w:style w:type="paragraph" w:styleId="ListBullet">
    <w:name w:val="List Bullet"/>
    <w:basedOn w:val="Normal"/>
    <w:uiPriority w:val="99"/>
    <w:semiHidden/>
    <w:unhideWhenUsed/>
    <w:rsid w:val="00FD7D34"/>
    <w:pPr>
      <w:numPr>
        <w:numId w:val="23"/>
      </w:numPr>
      <w:contextualSpacing/>
    </w:pPr>
  </w:style>
  <w:style w:type="paragraph" w:styleId="ListBullet2">
    <w:name w:val="List Bullet 2"/>
    <w:basedOn w:val="Normal"/>
    <w:uiPriority w:val="99"/>
    <w:semiHidden/>
    <w:unhideWhenUsed/>
    <w:rsid w:val="00FD7D34"/>
    <w:pPr>
      <w:numPr>
        <w:numId w:val="24"/>
      </w:numPr>
      <w:contextualSpacing/>
    </w:pPr>
  </w:style>
  <w:style w:type="paragraph" w:styleId="ListBullet3">
    <w:name w:val="List Bullet 3"/>
    <w:basedOn w:val="Normal"/>
    <w:uiPriority w:val="99"/>
    <w:semiHidden/>
    <w:unhideWhenUsed/>
    <w:rsid w:val="00FD7D34"/>
    <w:pPr>
      <w:numPr>
        <w:numId w:val="25"/>
      </w:numPr>
      <w:contextualSpacing/>
    </w:pPr>
  </w:style>
  <w:style w:type="paragraph" w:styleId="ListBullet4">
    <w:name w:val="List Bullet 4"/>
    <w:basedOn w:val="Normal"/>
    <w:uiPriority w:val="99"/>
    <w:semiHidden/>
    <w:unhideWhenUsed/>
    <w:rsid w:val="00FD7D34"/>
    <w:pPr>
      <w:numPr>
        <w:numId w:val="26"/>
      </w:numPr>
      <w:contextualSpacing/>
    </w:pPr>
  </w:style>
  <w:style w:type="paragraph" w:styleId="ListBullet5">
    <w:name w:val="List Bullet 5"/>
    <w:basedOn w:val="Normal"/>
    <w:uiPriority w:val="99"/>
    <w:semiHidden/>
    <w:unhideWhenUsed/>
    <w:rsid w:val="00FD7D34"/>
    <w:pPr>
      <w:numPr>
        <w:numId w:val="27"/>
      </w:numPr>
      <w:contextualSpacing/>
    </w:pPr>
  </w:style>
  <w:style w:type="paragraph" w:styleId="ListContinue">
    <w:name w:val="List Continue"/>
    <w:basedOn w:val="Normal"/>
    <w:uiPriority w:val="99"/>
    <w:semiHidden/>
    <w:unhideWhenUsed/>
    <w:rsid w:val="00FD7D34"/>
    <w:pPr>
      <w:spacing w:after="120"/>
      <w:ind w:left="360"/>
      <w:contextualSpacing/>
    </w:pPr>
  </w:style>
  <w:style w:type="paragraph" w:styleId="ListContinue2">
    <w:name w:val="List Continue 2"/>
    <w:basedOn w:val="Normal"/>
    <w:uiPriority w:val="99"/>
    <w:semiHidden/>
    <w:unhideWhenUsed/>
    <w:rsid w:val="00FD7D34"/>
    <w:pPr>
      <w:spacing w:after="120"/>
      <w:ind w:left="720"/>
      <w:contextualSpacing/>
    </w:pPr>
  </w:style>
  <w:style w:type="paragraph" w:styleId="ListContinue3">
    <w:name w:val="List Continue 3"/>
    <w:basedOn w:val="Normal"/>
    <w:uiPriority w:val="99"/>
    <w:semiHidden/>
    <w:unhideWhenUsed/>
    <w:rsid w:val="00FD7D34"/>
    <w:pPr>
      <w:spacing w:after="120"/>
      <w:ind w:left="1080"/>
      <w:contextualSpacing/>
    </w:pPr>
  </w:style>
  <w:style w:type="paragraph" w:styleId="ListContinue4">
    <w:name w:val="List Continue 4"/>
    <w:basedOn w:val="Normal"/>
    <w:uiPriority w:val="99"/>
    <w:semiHidden/>
    <w:unhideWhenUsed/>
    <w:rsid w:val="00FD7D34"/>
    <w:pPr>
      <w:spacing w:after="120"/>
      <w:ind w:left="1440"/>
      <w:contextualSpacing/>
    </w:pPr>
  </w:style>
  <w:style w:type="paragraph" w:styleId="ListContinue5">
    <w:name w:val="List Continue 5"/>
    <w:basedOn w:val="Normal"/>
    <w:uiPriority w:val="99"/>
    <w:semiHidden/>
    <w:unhideWhenUsed/>
    <w:rsid w:val="00FD7D34"/>
    <w:pPr>
      <w:spacing w:after="120"/>
      <w:ind w:left="1800"/>
      <w:contextualSpacing/>
    </w:pPr>
  </w:style>
  <w:style w:type="paragraph" w:styleId="ListNumber">
    <w:name w:val="List Number"/>
    <w:basedOn w:val="Normal"/>
    <w:uiPriority w:val="99"/>
    <w:semiHidden/>
    <w:unhideWhenUsed/>
    <w:rsid w:val="00FD7D34"/>
    <w:pPr>
      <w:numPr>
        <w:numId w:val="28"/>
      </w:numPr>
      <w:contextualSpacing/>
    </w:pPr>
  </w:style>
  <w:style w:type="paragraph" w:styleId="ListNumber3">
    <w:name w:val="List Number 3"/>
    <w:basedOn w:val="Normal"/>
    <w:uiPriority w:val="99"/>
    <w:semiHidden/>
    <w:unhideWhenUsed/>
    <w:rsid w:val="00FD7D34"/>
    <w:pPr>
      <w:numPr>
        <w:numId w:val="29"/>
      </w:numPr>
      <w:contextualSpacing/>
    </w:pPr>
  </w:style>
  <w:style w:type="paragraph" w:styleId="ListNumber4">
    <w:name w:val="List Number 4"/>
    <w:basedOn w:val="Normal"/>
    <w:uiPriority w:val="99"/>
    <w:semiHidden/>
    <w:unhideWhenUsed/>
    <w:rsid w:val="00FD7D34"/>
    <w:pPr>
      <w:numPr>
        <w:numId w:val="30"/>
      </w:numPr>
      <w:contextualSpacing/>
    </w:pPr>
  </w:style>
  <w:style w:type="paragraph" w:styleId="ListNumber5">
    <w:name w:val="List Number 5"/>
    <w:basedOn w:val="Normal"/>
    <w:uiPriority w:val="99"/>
    <w:semiHidden/>
    <w:unhideWhenUsed/>
    <w:rsid w:val="00FD7D34"/>
    <w:pPr>
      <w:numPr>
        <w:numId w:val="31"/>
      </w:numPr>
      <w:contextualSpacing/>
    </w:pPr>
  </w:style>
  <w:style w:type="paragraph" w:styleId="MacroText">
    <w:name w:val="macro"/>
    <w:link w:val="MacroTextChar"/>
    <w:uiPriority w:val="99"/>
    <w:semiHidden/>
    <w:unhideWhenUsed/>
    <w:rsid w:val="00FD7D3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FD7D34"/>
    <w:rPr>
      <w:rFonts w:ascii="Consolas" w:hAnsi="Consolas" w:cs="Consolas"/>
      <w:sz w:val="20"/>
      <w:szCs w:val="20"/>
    </w:rPr>
  </w:style>
  <w:style w:type="paragraph" w:styleId="MessageHeader">
    <w:name w:val="Message Header"/>
    <w:basedOn w:val="Normal"/>
    <w:link w:val="MessageHeaderChar"/>
    <w:uiPriority w:val="99"/>
    <w:semiHidden/>
    <w:unhideWhenUsed/>
    <w:rsid w:val="00FD7D3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FD7D34"/>
    <w:rPr>
      <w:sz w:val="24"/>
      <w:szCs w:val="24"/>
      <w:shd w:val="pct20" w:color="auto" w:fill="auto"/>
    </w:rPr>
  </w:style>
  <w:style w:type="paragraph" w:styleId="NormalIndent">
    <w:name w:val="Normal Indent"/>
    <w:basedOn w:val="Normal"/>
    <w:uiPriority w:val="99"/>
    <w:semiHidden/>
    <w:unhideWhenUsed/>
    <w:rsid w:val="00FD7D34"/>
    <w:pPr>
      <w:ind w:left="720"/>
    </w:pPr>
  </w:style>
  <w:style w:type="paragraph" w:styleId="NoteHeading">
    <w:name w:val="Note Heading"/>
    <w:basedOn w:val="Normal"/>
    <w:next w:val="Normal"/>
    <w:link w:val="NoteHeadingChar"/>
    <w:uiPriority w:val="99"/>
    <w:semiHidden/>
    <w:unhideWhenUsed/>
    <w:rsid w:val="00FD7D34"/>
    <w:pPr>
      <w:spacing w:after="0" w:line="240" w:lineRule="auto"/>
    </w:pPr>
  </w:style>
  <w:style w:type="character" w:customStyle="1" w:styleId="NoteHeadingChar">
    <w:name w:val="Note Heading Char"/>
    <w:basedOn w:val="DefaultParagraphFont"/>
    <w:link w:val="NoteHeading"/>
    <w:uiPriority w:val="99"/>
    <w:semiHidden/>
    <w:rsid w:val="00FD7D34"/>
  </w:style>
  <w:style w:type="paragraph" w:styleId="PlainText">
    <w:name w:val="Plain Text"/>
    <w:basedOn w:val="Normal"/>
    <w:link w:val="PlainTextChar"/>
    <w:uiPriority w:val="99"/>
    <w:semiHidden/>
    <w:unhideWhenUsed/>
    <w:rsid w:val="00FD7D3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D7D34"/>
    <w:rPr>
      <w:rFonts w:ascii="Consolas" w:hAnsi="Consolas" w:cs="Consolas"/>
      <w:sz w:val="21"/>
      <w:szCs w:val="21"/>
    </w:rPr>
  </w:style>
  <w:style w:type="paragraph" w:styleId="Salutation">
    <w:name w:val="Salutation"/>
    <w:basedOn w:val="Normal"/>
    <w:next w:val="Normal"/>
    <w:link w:val="SalutationChar"/>
    <w:uiPriority w:val="99"/>
    <w:semiHidden/>
    <w:unhideWhenUsed/>
    <w:rsid w:val="00FD7D34"/>
  </w:style>
  <w:style w:type="character" w:customStyle="1" w:styleId="SalutationChar">
    <w:name w:val="Salutation Char"/>
    <w:basedOn w:val="DefaultParagraphFont"/>
    <w:link w:val="Salutation"/>
    <w:uiPriority w:val="99"/>
    <w:semiHidden/>
    <w:rsid w:val="00FD7D34"/>
  </w:style>
  <w:style w:type="paragraph" w:styleId="Signature">
    <w:name w:val="Signature"/>
    <w:basedOn w:val="Normal"/>
    <w:link w:val="SignatureChar"/>
    <w:uiPriority w:val="99"/>
    <w:semiHidden/>
    <w:unhideWhenUsed/>
    <w:rsid w:val="00FD7D34"/>
    <w:pPr>
      <w:spacing w:after="0" w:line="240" w:lineRule="auto"/>
      <w:ind w:left="4320"/>
    </w:pPr>
  </w:style>
  <w:style w:type="character" w:customStyle="1" w:styleId="SignatureChar">
    <w:name w:val="Signature Char"/>
    <w:basedOn w:val="DefaultParagraphFont"/>
    <w:link w:val="Signature"/>
    <w:uiPriority w:val="99"/>
    <w:semiHidden/>
    <w:rsid w:val="00FD7D34"/>
  </w:style>
  <w:style w:type="paragraph" w:styleId="TableofAuthorities">
    <w:name w:val="table of authorities"/>
    <w:basedOn w:val="Normal"/>
    <w:next w:val="Normal"/>
    <w:uiPriority w:val="99"/>
    <w:semiHidden/>
    <w:unhideWhenUsed/>
    <w:rsid w:val="00FD7D34"/>
    <w:pPr>
      <w:spacing w:after="0"/>
      <w:ind w:left="220" w:hanging="220"/>
    </w:pPr>
  </w:style>
  <w:style w:type="paragraph" w:styleId="TableofFigures">
    <w:name w:val="table of figures"/>
    <w:basedOn w:val="Normal"/>
    <w:next w:val="Normal"/>
    <w:uiPriority w:val="99"/>
    <w:semiHidden/>
    <w:unhideWhenUsed/>
    <w:rsid w:val="00FD7D34"/>
    <w:pPr>
      <w:spacing w:after="0"/>
    </w:pPr>
  </w:style>
  <w:style w:type="paragraph" w:styleId="TOAHeading">
    <w:name w:val="toa heading"/>
    <w:basedOn w:val="Normal"/>
    <w:next w:val="Normal"/>
    <w:uiPriority w:val="99"/>
    <w:semiHidden/>
    <w:unhideWhenUsed/>
    <w:rsid w:val="00FD7D34"/>
    <w:pPr>
      <w:spacing w:before="12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8536">
      <w:bodyDiv w:val="1"/>
      <w:marLeft w:val="0"/>
      <w:marRight w:val="0"/>
      <w:marTop w:val="0"/>
      <w:marBottom w:val="0"/>
      <w:divBdr>
        <w:top w:val="none" w:sz="0" w:space="0" w:color="auto"/>
        <w:left w:val="none" w:sz="0" w:space="0" w:color="auto"/>
        <w:bottom w:val="none" w:sz="0" w:space="0" w:color="auto"/>
        <w:right w:val="none" w:sz="0" w:space="0" w:color="auto"/>
      </w:divBdr>
    </w:div>
    <w:div w:id="677082389">
      <w:bodyDiv w:val="1"/>
      <w:marLeft w:val="0"/>
      <w:marRight w:val="0"/>
      <w:marTop w:val="0"/>
      <w:marBottom w:val="0"/>
      <w:divBdr>
        <w:top w:val="none" w:sz="0" w:space="0" w:color="auto"/>
        <w:left w:val="none" w:sz="0" w:space="0" w:color="auto"/>
        <w:bottom w:val="none" w:sz="0" w:space="0" w:color="auto"/>
        <w:right w:val="none" w:sz="0" w:space="0" w:color="auto"/>
      </w:divBdr>
    </w:div>
    <w:div w:id="762846120">
      <w:bodyDiv w:val="1"/>
      <w:marLeft w:val="0"/>
      <w:marRight w:val="0"/>
      <w:marTop w:val="0"/>
      <w:marBottom w:val="0"/>
      <w:divBdr>
        <w:top w:val="none" w:sz="0" w:space="0" w:color="auto"/>
        <w:left w:val="none" w:sz="0" w:space="0" w:color="auto"/>
        <w:bottom w:val="none" w:sz="0" w:space="0" w:color="auto"/>
        <w:right w:val="none" w:sz="0" w:space="0" w:color="auto"/>
      </w:divBdr>
      <w:divsChild>
        <w:div w:id="1304502542">
          <w:marLeft w:val="0"/>
          <w:marRight w:val="0"/>
          <w:marTop w:val="0"/>
          <w:marBottom w:val="0"/>
          <w:divBdr>
            <w:top w:val="none" w:sz="0" w:space="0" w:color="auto"/>
            <w:left w:val="none" w:sz="0" w:space="0" w:color="auto"/>
            <w:bottom w:val="none" w:sz="0" w:space="0" w:color="auto"/>
            <w:right w:val="none" w:sz="0" w:space="0" w:color="auto"/>
          </w:divBdr>
          <w:divsChild>
            <w:div w:id="333268148">
              <w:marLeft w:val="0"/>
              <w:marRight w:val="0"/>
              <w:marTop w:val="0"/>
              <w:marBottom w:val="0"/>
              <w:divBdr>
                <w:top w:val="none" w:sz="0" w:space="0" w:color="auto"/>
                <w:left w:val="none" w:sz="0" w:space="0" w:color="auto"/>
                <w:bottom w:val="none" w:sz="0" w:space="0" w:color="auto"/>
                <w:right w:val="none" w:sz="0" w:space="0" w:color="auto"/>
              </w:divBdr>
              <w:divsChild>
                <w:div w:id="1713651837">
                  <w:marLeft w:val="0"/>
                  <w:marRight w:val="0"/>
                  <w:marTop w:val="0"/>
                  <w:marBottom w:val="0"/>
                  <w:divBdr>
                    <w:top w:val="none" w:sz="0" w:space="0" w:color="auto"/>
                    <w:left w:val="none" w:sz="0" w:space="0" w:color="auto"/>
                    <w:bottom w:val="none" w:sz="0" w:space="0" w:color="auto"/>
                    <w:right w:val="none" w:sz="0" w:space="0" w:color="auto"/>
                  </w:divBdr>
                  <w:divsChild>
                    <w:div w:id="1242372717">
                      <w:marLeft w:val="0"/>
                      <w:marRight w:val="0"/>
                      <w:marTop w:val="0"/>
                      <w:marBottom w:val="0"/>
                      <w:divBdr>
                        <w:top w:val="none" w:sz="0" w:space="0" w:color="auto"/>
                        <w:left w:val="none" w:sz="0" w:space="0" w:color="auto"/>
                        <w:bottom w:val="none" w:sz="0" w:space="0" w:color="auto"/>
                        <w:right w:val="none" w:sz="0" w:space="0" w:color="auto"/>
                      </w:divBdr>
                      <w:divsChild>
                        <w:div w:id="638418474">
                          <w:marLeft w:val="0"/>
                          <w:marRight w:val="0"/>
                          <w:marTop w:val="0"/>
                          <w:marBottom w:val="0"/>
                          <w:divBdr>
                            <w:top w:val="none" w:sz="0" w:space="0" w:color="auto"/>
                            <w:left w:val="none" w:sz="0" w:space="0" w:color="auto"/>
                            <w:bottom w:val="none" w:sz="0" w:space="0" w:color="auto"/>
                            <w:right w:val="none" w:sz="0" w:space="0" w:color="auto"/>
                          </w:divBdr>
                          <w:divsChild>
                            <w:div w:id="1777941279">
                              <w:marLeft w:val="0"/>
                              <w:marRight w:val="0"/>
                              <w:marTop w:val="0"/>
                              <w:marBottom w:val="0"/>
                              <w:divBdr>
                                <w:top w:val="none" w:sz="0" w:space="0" w:color="auto"/>
                                <w:left w:val="none" w:sz="0" w:space="0" w:color="auto"/>
                                <w:bottom w:val="none" w:sz="0" w:space="0" w:color="auto"/>
                                <w:right w:val="none" w:sz="0" w:space="0" w:color="auto"/>
                              </w:divBdr>
                              <w:divsChild>
                                <w:div w:id="1295713213">
                                  <w:marLeft w:val="0"/>
                                  <w:marRight w:val="0"/>
                                  <w:marTop w:val="240"/>
                                  <w:marBottom w:val="240"/>
                                  <w:divBdr>
                                    <w:top w:val="none" w:sz="0" w:space="0" w:color="auto"/>
                                    <w:left w:val="none" w:sz="0" w:space="0" w:color="auto"/>
                                    <w:bottom w:val="none" w:sz="0" w:space="0" w:color="auto"/>
                                    <w:right w:val="none" w:sz="0" w:space="0" w:color="auto"/>
                                  </w:divBdr>
                                  <w:divsChild>
                                    <w:div w:id="1246651244">
                                      <w:marLeft w:val="0"/>
                                      <w:marRight w:val="0"/>
                                      <w:marTop w:val="0"/>
                                      <w:marBottom w:val="0"/>
                                      <w:divBdr>
                                        <w:top w:val="none" w:sz="0" w:space="0" w:color="auto"/>
                                        <w:left w:val="none" w:sz="0" w:space="0" w:color="auto"/>
                                        <w:bottom w:val="none" w:sz="0" w:space="0" w:color="auto"/>
                                        <w:right w:val="none" w:sz="0" w:space="0" w:color="auto"/>
                                      </w:divBdr>
                                      <w:divsChild>
                                        <w:div w:id="975455756">
                                          <w:marLeft w:val="0"/>
                                          <w:marRight w:val="0"/>
                                          <w:marTop w:val="0"/>
                                          <w:marBottom w:val="0"/>
                                          <w:divBdr>
                                            <w:top w:val="none" w:sz="0" w:space="0" w:color="auto"/>
                                            <w:left w:val="none" w:sz="0" w:space="0" w:color="auto"/>
                                            <w:bottom w:val="none" w:sz="0" w:space="0" w:color="auto"/>
                                            <w:right w:val="none" w:sz="0" w:space="0" w:color="auto"/>
                                          </w:divBdr>
                                          <w:divsChild>
                                            <w:div w:id="20034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200667">
      <w:bodyDiv w:val="1"/>
      <w:marLeft w:val="0"/>
      <w:marRight w:val="0"/>
      <w:marTop w:val="0"/>
      <w:marBottom w:val="0"/>
      <w:divBdr>
        <w:top w:val="none" w:sz="0" w:space="0" w:color="auto"/>
        <w:left w:val="none" w:sz="0" w:space="0" w:color="auto"/>
        <w:bottom w:val="none" w:sz="0" w:space="0" w:color="auto"/>
        <w:right w:val="none" w:sz="0" w:space="0" w:color="auto"/>
      </w:divBdr>
    </w:div>
    <w:div w:id="935790139">
      <w:bodyDiv w:val="1"/>
      <w:marLeft w:val="0"/>
      <w:marRight w:val="0"/>
      <w:marTop w:val="0"/>
      <w:marBottom w:val="0"/>
      <w:divBdr>
        <w:top w:val="none" w:sz="0" w:space="0" w:color="auto"/>
        <w:left w:val="none" w:sz="0" w:space="0" w:color="auto"/>
        <w:bottom w:val="none" w:sz="0" w:space="0" w:color="auto"/>
        <w:right w:val="none" w:sz="0" w:space="0" w:color="auto"/>
      </w:divBdr>
    </w:div>
    <w:div w:id="1220167660">
      <w:bodyDiv w:val="1"/>
      <w:marLeft w:val="0"/>
      <w:marRight w:val="0"/>
      <w:marTop w:val="0"/>
      <w:marBottom w:val="0"/>
      <w:divBdr>
        <w:top w:val="none" w:sz="0" w:space="0" w:color="auto"/>
        <w:left w:val="none" w:sz="0" w:space="0" w:color="auto"/>
        <w:bottom w:val="none" w:sz="0" w:space="0" w:color="auto"/>
        <w:right w:val="none" w:sz="0" w:space="0" w:color="auto"/>
      </w:divBdr>
    </w:div>
    <w:div w:id="1252935886">
      <w:bodyDiv w:val="1"/>
      <w:marLeft w:val="0"/>
      <w:marRight w:val="0"/>
      <w:marTop w:val="0"/>
      <w:marBottom w:val="0"/>
      <w:divBdr>
        <w:top w:val="none" w:sz="0" w:space="0" w:color="auto"/>
        <w:left w:val="none" w:sz="0" w:space="0" w:color="auto"/>
        <w:bottom w:val="none" w:sz="0" w:space="0" w:color="auto"/>
        <w:right w:val="none" w:sz="0" w:space="0" w:color="auto"/>
      </w:divBdr>
      <w:divsChild>
        <w:div w:id="338509543">
          <w:marLeft w:val="994"/>
          <w:marRight w:val="0"/>
          <w:marTop w:val="86"/>
          <w:marBottom w:val="0"/>
          <w:divBdr>
            <w:top w:val="none" w:sz="0" w:space="0" w:color="auto"/>
            <w:left w:val="none" w:sz="0" w:space="0" w:color="auto"/>
            <w:bottom w:val="none" w:sz="0" w:space="0" w:color="auto"/>
            <w:right w:val="none" w:sz="0" w:space="0" w:color="auto"/>
          </w:divBdr>
        </w:div>
        <w:div w:id="647709730">
          <w:marLeft w:val="994"/>
          <w:marRight w:val="0"/>
          <w:marTop w:val="86"/>
          <w:marBottom w:val="0"/>
          <w:divBdr>
            <w:top w:val="none" w:sz="0" w:space="0" w:color="auto"/>
            <w:left w:val="none" w:sz="0" w:space="0" w:color="auto"/>
            <w:bottom w:val="none" w:sz="0" w:space="0" w:color="auto"/>
            <w:right w:val="none" w:sz="0" w:space="0" w:color="auto"/>
          </w:divBdr>
        </w:div>
        <w:div w:id="803042200">
          <w:marLeft w:val="994"/>
          <w:marRight w:val="0"/>
          <w:marTop w:val="86"/>
          <w:marBottom w:val="0"/>
          <w:divBdr>
            <w:top w:val="none" w:sz="0" w:space="0" w:color="auto"/>
            <w:left w:val="none" w:sz="0" w:space="0" w:color="auto"/>
            <w:bottom w:val="none" w:sz="0" w:space="0" w:color="auto"/>
            <w:right w:val="none" w:sz="0" w:space="0" w:color="auto"/>
          </w:divBdr>
        </w:div>
        <w:div w:id="823858613">
          <w:marLeft w:val="994"/>
          <w:marRight w:val="0"/>
          <w:marTop w:val="86"/>
          <w:marBottom w:val="0"/>
          <w:divBdr>
            <w:top w:val="none" w:sz="0" w:space="0" w:color="auto"/>
            <w:left w:val="none" w:sz="0" w:space="0" w:color="auto"/>
            <w:bottom w:val="none" w:sz="0" w:space="0" w:color="auto"/>
            <w:right w:val="none" w:sz="0" w:space="0" w:color="auto"/>
          </w:divBdr>
        </w:div>
        <w:div w:id="1030061092">
          <w:marLeft w:val="994"/>
          <w:marRight w:val="0"/>
          <w:marTop w:val="86"/>
          <w:marBottom w:val="0"/>
          <w:divBdr>
            <w:top w:val="none" w:sz="0" w:space="0" w:color="auto"/>
            <w:left w:val="none" w:sz="0" w:space="0" w:color="auto"/>
            <w:bottom w:val="none" w:sz="0" w:space="0" w:color="auto"/>
            <w:right w:val="none" w:sz="0" w:space="0" w:color="auto"/>
          </w:divBdr>
        </w:div>
        <w:div w:id="1239175091">
          <w:marLeft w:val="994"/>
          <w:marRight w:val="0"/>
          <w:marTop w:val="86"/>
          <w:marBottom w:val="0"/>
          <w:divBdr>
            <w:top w:val="none" w:sz="0" w:space="0" w:color="auto"/>
            <w:left w:val="none" w:sz="0" w:space="0" w:color="auto"/>
            <w:bottom w:val="none" w:sz="0" w:space="0" w:color="auto"/>
            <w:right w:val="none" w:sz="0" w:space="0" w:color="auto"/>
          </w:divBdr>
        </w:div>
        <w:div w:id="1375303530">
          <w:marLeft w:val="994"/>
          <w:marRight w:val="0"/>
          <w:marTop w:val="86"/>
          <w:marBottom w:val="0"/>
          <w:divBdr>
            <w:top w:val="none" w:sz="0" w:space="0" w:color="auto"/>
            <w:left w:val="none" w:sz="0" w:space="0" w:color="auto"/>
            <w:bottom w:val="none" w:sz="0" w:space="0" w:color="auto"/>
            <w:right w:val="none" w:sz="0" w:space="0" w:color="auto"/>
          </w:divBdr>
        </w:div>
        <w:div w:id="1384871844">
          <w:marLeft w:val="994"/>
          <w:marRight w:val="0"/>
          <w:marTop w:val="86"/>
          <w:marBottom w:val="0"/>
          <w:divBdr>
            <w:top w:val="none" w:sz="0" w:space="0" w:color="auto"/>
            <w:left w:val="none" w:sz="0" w:space="0" w:color="auto"/>
            <w:bottom w:val="none" w:sz="0" w:space="0" w:color="auto"/>
            <w:right w:val="none" w:sz="0" w:space="0" w:color="auto"/>
          </w:divBdr>
        </w:div>
        <w:div w:id="1615089794">
          <w:marLeft w:val="994"/>
          <w:marRight w:val="0"/>
          <w:marTop w:val="86"/>
          <w:marBottom w:val="0"/>
          <w:divBdr>
            <w:top w:val="none" w:sz="0" w:space="0" w:color="auto"/>
            <w:left w:val="none" w:sz="0" w:space="0" w:color="auto"/>
            <w:bottom w:val="none" w:sz="0" w:space="0" w:color="auto"/>
            <w:right w:val="none" w:sz="0" w:space="0" w:color="auto"/>
          </w:divBdr>
        </w:div>
        <w:div w:id="1900285747">
          <w:marLeft w:val="994"/>
          <w:marRight w:val="0"/>
          <w:marTop w:val="86"/>
          <w:marBottom w:val="0"/>
          <w:divBdr>
            <w:top w:val="none" w:sz="0" w:space="0" w:color="auto"/>
            <w:left w:val="none" w:sz="0" w:space="0" w:color="auto"/>
            <w:bottom w:val="none" w:sz="0" w:space="0" w:color="auto"/>
            <w:right w:val="none" w:sz="0" w:space="0" w:color="auto"/>
          </w:divBdr>
        </w:div>
        <w:div w:id="2012370256">
          <w:marLeft w:val="994"/>
          <w:marRight w:val="0"/>
          <w:marTop w:val="86"/>
          <w:marBottom w:val="0"/>
          <w:divBdr>
            <w:top w:val="none" w:sz="0" w:space="0" w:color="auto"/>
            <w:left w:val="none" w:sz="0" w:space="0" w:color="auto"/>
            <w:bottom w:val="none" w:sz="0" w:space="0" w:color="auto"/>
            <w:right w:val="none" w:sz="0" w:space="0" w:color="auto"/>
          </w:divBdr>
        </w:div>
      </w:divsChild>
    </w:div>
    <w:div w:id="1475441125">
      <w:bodyDiv w:val="1"/>
      <w:marLeft w:val="0"/>
      <w:marRight w:val="0"/>
      <w:marTop w:val="0"/>
      <w:marBottom w:val="0"/>
      <w:divBdr>
        <w:top w:val="none" w:sz="0" w:space="0" w:color="auto"/>
        <w:left w:val="none" w:sz="0" w:space="0" w:color="auto"/>
        <w:bottom w:val="none" w:sz="0" w:space="0" w:color="auto"/>
        <w:right w:val="none" w:sz="0" w:space="0" w:color="auto"/>
      </w:divBdr>
    </w:div>
    <w:div w:id="1536890465">
      <w:bodyDiv w:val="1"/>
      <w:marLeft w:val="0"/>
      <w:marRight w:val="0"/>
      <w:marTop w:val="0"/>
      <w:marBottom w:val="0"/>
      <w:divBdr>
        <w:top w:val="none" w:sz="0" w:space="0" w:color="auto"/>
        <w:left w:val="none" w:sz="0" w:space="0" w:color="auto"/>
        <w:bottom w:val="none" w:sz="0" w:space="0" w:color="auto"/>
        <w:right w:val="none" w:sz="0" w:space="0" w:color="auto"/>
      </w:divBdr>
    </w:div>
    <w:div w:id="1629359110">
      <w:bodyDiv w:val="1"/>
      <w:marLeft w:val="0"/>
      <w:marRight w:val="0"/>
      <w:marTop w:val="0"/>
      <w:marBottom w:val="0"/>
      <w:divBdr>
        <w:top w:val="none" w:sz="0" w:space="0" w:color="auto"/>
        <w:left w:val="none" w:sz="0" w:space="0" w:color="auto"/>
        <w:bottom w:val="none" w:sz="0" w:space="0" w:color="auto"/>
        <w:right w:val="none" w:sz="0" w:space="0" w:color="auto"/>
      </w:divBdr>
    </w:div>
    <w:div w:id="1695689797">
      <w:bodyDiv w:val="1"/>
      <w:marLeft w:val="0"/>
      <w:marRight w:val="0"/>
      <w:marTop w:val="0"/>
      <w:marBottom w:val="0"/>
      <w:divBdr>
        <w:top w:val="none" w:sz="0" w:space="0" w:color="auto"/>
        <w:left w:val="none" w:sz="0" w:space="0" w:color="auto"/>
        <w:bottom w:val="none" w:sz="0" w:space="0" w:color="auto"/>
        <w:right w:val="none" w:sz="0" w:space="0" w:color="auto"/>
      </w:divBdr>
      <w:divsChild>
        <w:div w:id="1497500462">
          <w:marLeft w:val="0"/>
          <w:marRight w:val="0"/>
          <w:marTop w:val="0"/>
          <w:marBottom w:val="0"/>
          <w:divBdr>
            <w:top w:val="none" w:sz="0" w:space="0" w:color="auto"/>
            <w:left w:val="none" w:sz="0" w:space="0" w:color="auto"/>
            <w:bottom w:val="none" w:sz="0" w:space="0" w:color="auto"/>
            <w:right w:val="none" w:sz="0" w:space="0" w:color="auto"/>
          </w:divBdr>
          <w:divsChild>
            <w:div w:id="1111127534">
              <w:marLeft w:val="0"/>
              <w:marRight w:val="0"/>
              <w:marTop w:val="0"/>
              <w:marBottom w:val="0"/>
              <w:divBdr>
                <w:top w:val="none" w:sz="0" w:space="0" w:color="auto"/>
                <w:left w:val="none" w:sz="0" w:space="0" w:color="auto"/>
                <w:bottom w:val="none" w:sz="0" w:space="0" w:color="auto"/>
                <w:right w:val="none" w:sz="0" w:space="0" w:color="auto"/>
              </w:divBdr>
              <w:divsChild>
                <w:div w:id="585960150">
                  <w:marLeft w:val="0"/>
                  <w:marRight w:val="0"/>
                  <w:marTop w:val="0"/>
                  <w:marBottom w:val="0"/>
                  <w:divBdr>
                    <w:top w:val="none" w:sz="0" w:space="0" w:color="auto"/>
                    <w:left w:val="none" w:sz="0" w:space="0" w:color="auto"/>
                    <w:bottom w:val="none" w:sz="0" w:space="0" w:color="auto"/>
                    <w:right w:val="none" w:sz="0" w:space="0" w:color="auto"/>
                  </w:divBdr>
                  <w:divsChild>
                    <w:div w:id="1700159979">
                      <w:marLeft w:val="0"/>
                      <w:marRight w:val="0"/>
                      <w:marTop w:val="0"/>
                      <w:marBottom w:val="0"/>
                      <w:divBdr>
                        <w:top w:val="none" w:sz="0" w:space="0" w:color="auto"/>
                        <w:left w:val="none" w:sz="0" w:space="0" w:color="auto"/>
                        <w:bottom w:val="none" w:sz="0" w:space="0" w:color="auto"/>
                        <w:right w:val="none" w:sz="0" w:space="0" w:color="auto"/>
                      </w:divBdr>
                      <w:divsChild>
                        <w:div w:id="34934904">
                          <w:marLeft w:val="0"/>
                          <w:marRight w:val="0"/>
                          <w:marTop w:val="0"/>
                          <w:marBottom w:val="0"/>
                          <w:divBdr>
                            <w:top w:val="none" w:sz="0" w:space="0" w:color="auto"/>
                            <w:left w:val="none" w:sz="0" w:space="0" w:color="auto"/>
                            <w:bottom w:val="none" w:sz="0" w:space="0" w:color="auto"/>
                            <w:right w:val="none" w:sz="0" w:space="0" w:color="auto"/>
                          </w:divBdr>
                          <w:divsChild>
                            <w:div w:id="1532300422">
                              <w:marLeft w:val="0"/>
                              <w:marRight w:val="0"/>
                              <w:marTop w:val="0"/>
                              <w:marBottom w:val="0"/>
                              <w:divBdr>
                                <w:top w:val="none" w:sz="0" w:space="0" w:color="auto"/>
                                <w:left w:val="none" w:sz="0" w:space="0" w:color="auto"/>
                                <w:bottom w:val="none" w:sz="0" w:space="0" w:color="auto"/>
                                <w:right w:val="none" w:sz="0" w:space="0" w:color="auto"/>
                              </w:divBdr>
                              <w:divsChild>
                                <w:div w:id="806968752">
                                  <w:marLeft w:val="0"/>
                                  <w:marRight w:val="0"/>
                                  <w:marTop w:val="240"/>
                                  <w:marBottom w:val="240"/>
                                  <w:divBdr>
                                    <w:top w:val="none" w:sz="0" w:space="0" w:color="auto"/>
                                    <w:left w:val="none" w:sz="0" w:space="0" w:color="auto"/>
                                    <w:bottom w:val="none" w:sz="0" w:space="0" w:color="auto"/>
                                    <w:right w:val="none" w:sz="0" w:space="0" w:color="auto"/>
                                  </w:divBdr>
                                  <w:divsChild>
                                    <w:div w:id="333386938">
                                      <w:marLeft w:val="0"/>
                                      <w:marRight w:val="0"/>
                                      <w:marTop w:val="0"/>
                                      <w:marBottom w:val="0"/>
                                      <w:divBdr>
                                        <w:top w:val="none" w:sz="0" w:space="0" w:color="auto"/>
                                        <w:left w:val="none" w:sz="0" w:space="0" w:color="auto"/>
                                        <w:bottom w:val="none" w:sz="0" w:space="0" w:color="auto"/>
                                        <w:right w:val="none" w:sz="0" w:space="0" w:color="auto"/>
                                      </w:divBdr>
                                      <w:divsChild>
                                        <w:div w:id="1254319208">
                                          <w:marLeft w:val="0"/>
                                          <w:marRight w:val="0"/>
                                          <w:marTop w:val="0"/>
                                          <w:marBottom w:val="0"/>
                                          <w:divBdr>
                                            <w:top w:val="none" w:sz="0" w:space="0" w:color="auto"/>
                                            <w:left w:val="none" w:sz="0" w:space="0" w:color="auto"/>
                                            <w:bottom w:val="none" w:sz="0" w:space="0" w:color="auto"/>
                                            <w:right w:val="none" w:sz="0" w:space="0" w:color="auto"/>
                                          </w:divBdr>
                                          <w:divsChild>
                                            <w:div w:id="10061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397954">
      <w:bodyDiv w:val="1"/>
      <w:marLeft w:val="0"/>
      <w:marRight w:val="0"/>
      <w:marTop w:val="0"/>
      <w:marBottom w:val="0"/>
      <w:divBdr>
        <w:top w:val="none" w:sz="0" w:space="0" w:color="auto"/>
        <w:left w:val="none" w:sz="0" w:space="0" w:color="auto"/>
        <w:bottom w:val="none" w:sz="0" w:space="0" w:color="auto"/>
        <w:right w:val="none" w:sz="0" w:space="0" w:color="auto"/>
      </w:divBdr>
    </w:div>
    <w:div w:id="20246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financial-dictionary.thefreedictionary.com/Electronic+Funds+Transfer"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ehnac.org/files/PDF/Glossary_of_Terms_092811.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cls-group.com/Pages/default.aspx" TargetMode="External"/><Relationship Id="rId25" Type="http://schemas.openxmlformats.org/officeDocument/2006/relationships/hyperlink" Target="http://www.investopedia.com/terms/s/straightthroughprocessing.asp" TargetMode="External"/><Relationship Id="rId2" Type="http://schemas.openxmlformats.org/officeDocument/2006/relationships/customXml" Target="../customXml/item2.xml"/><Relationship Id="rId16" Type="http://schemas.openxmlformats.org/officeDocument/2006/relationships/hyperlink" Target="http://www.chips.org/home.php" TargetMode="External"/><Relationship Id="rId20" Type="http://schemas.openxmlformats.org/officeDocument/2006/relationships/hyperlink" Target="http://www.ehnac.org/files/PDF/Glossary_of_Terms_09281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en.wikipedia.org/wiki/Single_Euro_Payments_Area" TargetMode="External"/><Relationship Id="rId5" Type="http://schemas.microsoft.com/office/2007/relationships/stylesWithEffects" Target="stylesWithEffects.xml"/><Relationship Id="rId15" Type="http://schemas.openxmlformats.org/officeDocument/2006/relationships/hyperlink" Target="http://www.astm.org/Standards/E2369.htm" TargetMode="External"/><Relationship Id="rId23" Type="http://schemas.openxmlformats.org/officeDocument/2006/relationships/hyperlink" Target="http://www.ehnac.org/files/PDF/Glossary_of_Terms_092811.pdf"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federalreserve.gov/paymentsystems/coreprinciples/default.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po.gov/fdsys/pkg/PLAW-111publ5/content-detail.html" TargetMode="External"/><Relationship Id="rId22" Type="http://schemas.openxmlformats.org/officeDocument/2006/relationships/hyperlink" Target="http://www.webmd.com/phr"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himss.org/content/files/20110519_UnveilingTruthBehind_RTA.pdf" TargetMode="External"/><Relationship Id="rId2" Type="http://schemas.openxmlformats.org/officeDocument/2006/relationships/hyperlink" Target="http://en.wikipedia.org/wiki/Group_medical_practice_in_the_United_States" TargetMode="External"/><Relationship Id="rId1" Type="http://schemas.openxmlformats.org/officeDocument/2006/relationships/hyperlink" Target="http://www.investopedia.com/terms/s/straightthroughprocessing.asp" TargetMode="Externa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9DFC63-D25A-414F-BC3B-D9AC6B8B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9252</Words>
  <Characters>52742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he Healthcare Payments Hub</vt:lpstr>
    </vt:vector>
  </TitlesOfParts>
  <Company>AT&amp;T Wireless</Company>
  <LinksUpToDate>false</LinksUpToDate>
  <CharactersWithSpaces>61871</CharactersWithSpaces>
  <SharedDoc>false</SharedDoc>
  <HLinks>
    <vt:vector size="1380" baseType="variant">
      <vt:variant>
        <vt:i4>2818159</vt:i4>
      </vt:variant>
      <vt:variant>
        <vt:i4>996</vt:i4>
      </vt:variant>
      <vt:variant>
        <vt:i4>0</vt:i4>
      </vt:variant>
      <vt:variant>
        <vt:i4>5</vt:i4>
      </vt:variant>
      <vt:variant>
        <vt:lpwstr>http://team/sites/xSDLC/default.aspx?RootFolder=%2fsites%2fxSDLC%2fShared%20Documents%2fBRD%20Training%20Materials&amp;View=%7bA73EFB3F%2dC6D0%2d48A0%2dA90F%2d64DB3A23CABC%7d</vt:lpwstr>
      </vt:variant>
      <vt:variant>
        <vt:lpwstr/>
      </vt:variant>
      <vt:variant>
        <vt:i4>2818159</vt:i4>
      </vt:variant>
      <vt:variant>
        <vt:i4>993</vt:i4>
      </vt:variant>
      <vt:variant>
        <vt:i4>0</vt:i4>
      </vt:variant>
      <vt:variant>
        <vt:i4>5</vt:i4>
      </vt:variant>
      <vt:variant>
        <vt:lpwstr>http://team/sites/xSDLC/default.aspx?RootFolder=%2fsites%2fxSDLC%2fShared%20Documents%2fBRD%20Training%20Materials&amp;View=%7bA73EFB3F%2dC6D0%2d48A0%2dA90F%2d64DB3A23CABC%7d</vt:lpwstr>
      </vt:variant>
      <vt:variant>
        <vt:lpwstr/>
      </vt:variant>
      <vt:variant>
        <vt:i4>2818159</vt:i4>
      </vt:variant>
      <vt:variant>
        <vt:i4>990</vt:i4>
      </vt:variant>
      <vt:variant>
        <vt:i4>0</vt:i4>
      </vt:variant>
      <vt:variant>
        <vt:i4>5</vt:i4>
      </vt:variant>
      <vt:variant>
        <vt:lpwstr>http://team/sites/xSDLC/default.aspx?RootFolder=%2fsites%2fxSDLC%2fShared%20Documents%2fBRD%20Training%20Materials&amp;View=%7bA73EFB3F%2dC6D0%2d48A0%2dA90F%2d64DB3A23CABC%7d</vt:lpwstr>
      </vt:variant>
      <vt:variant>
        <vt:lpwstr/>
      </vt:variant>
      <vt:variant>
        <vt:i4>5570610</vt:i4>
      </vt:variant>
      <vt:variant>
        <vt:i4>987</vt:i4>
      </vt:variant>
      <vt:variant>
        <vt:i4>0</vt:i4>
      </vt:variant>
      <vt:variant>
        <vt:i4>5</vt:i4>
      </vt:variant>
      <vt:variant>
        <vt:lpwstr>http://sts/GCMTO/Product Management/SWIFT/Documentation/Infrastructure/SWIFTNet_Resilence_Guide_v5-November2004.pdf</vt:lpwstr>
      </vt:variant>
      <vt:variant>
        <vt:lpwstr/>
      </vt:variant>
      <vt:variant>
        <vt:i4>1966083</vt:i4>
      </vt:variant>
      <vt:variant>
        <vt:i4>984</vt:i4>
      </vt:variant>
      <vt:variant>
        <vt:i4>0</vt:i4>
      </vt:variant>
      <vt:variant>
        <vt:i4>5</vt:i4>
      </vt:variant>
      <vt:variant>
        <vt:lpwstr>http://sts/GCMTO/Product Management/SWIFT/Documentation/Infrastructure/SWIFTNet_Network_Access_Control_Guide-January2005.pdf</vt:lpwstr>
      </vt:variant>
      <vt:variant>
        <vt:lpwstr/>
      </vt:variant>
      <vt:variant>
        <vt:i4>7274618</vt:i4>
      </vt:variant>
      <vt:variant>
        <vt:i4>981</vt:i4>
      </vt:variant>
      <vt:variant>
        <vt:i4>0</vt:i4>
      </vt:variant>
      <vt:variant>
        <vt:i4>5</vt:i4>
      </vt:variant>
      <vt:variant>
        <vt:lpwstr>http://sts/GCMTO/Product Management/SWIFT/Documentation/SWIFT Alliance Access Information/MQ Series Interface for SWIFT Alliance Access User Guide_2_4.pdf</vt:lpwstr>
      </vt:variant>
      <vt:variant>
        <vt:lpwstr/>
      </vt:variant>
      <vt:variant>
        <vt:i4>458772</vt:i4>
      </vt:variant>
      <vt:variant>
        <vt:i4>978</vt:i4>
      </vt:variant>
      <vt:variant>
        <vt:i4>0</vt:i4>
      </vt:variant>
      <vt:variant>
        <vt:i4>5</vt:i4>
      </vt:variant>
      <vt:variant>
        <vt:lpwstr>http://sts/GCMTO/Product Management/SWIFT/Documentation/SWIFT Alliance Access Information/MQSeries Interface for SWIFT Alliance Access UserGuide_2_2.pdf</vt:lpwstr>
      </vt:variant>
      <vt:variant>
        <vt:lpwstr/>
      </vt:variant>
      <vt:variant>
        <vt:i4>7733311</vt:i4>
      </vt:variant>
      <vt:variant>
        <vt:i4>975</vt:i4>
      </vt:variant>
      <vt:variant>
        <vt:i4>0</vt:i4>
      </vt:variant>
      <vt:variant>
        <vt:i4>5</vt:i4>
      </vt:variant>
      <vt:variant>
        <vt:lpwstr>http://sts/GCMTO/Product Management/SWIFT/Documentation/SWIFT Alliance Access Information/SWIFT Alliance Access-Daily Operations Guide.pdf</vt:lpwstr>
      </vt:variant>
      <vt:variant>
        <vt:lpwstr/>
      </vt:variant>
      <vt:variant>
        <vt:i4>3145846</vt:i4>
      </vt:variant>
      <vt:variant>
        <vt:i4>972</vt:i4>
      </vt:variant>
      <vt:variant>
        <vt:i4>0</vt:i4>
      </vt:variant>
      <vt:variant>
        <vt:i4>5</vt:i4>
      </vt:variant>
      <vt:variant>
        <vt:lpwstr>http://sts/GCMTO/Product Management/SWIFT/Documentation/SWIFT Alliance Access Information/SWIFT Alliance Access-System Management Guide.pdf</vt:lpwstr>
      </vt:variant>
      <vt:variant>
        <vt:lpwstr/>
      </vt:variant>
      <vt:variant>
        <vt:i4>3801139</vt:i4>
      </vt:variant>
      <vt:variant>
        <vt:i4>969</vt:i4>
      </vt:variant>
      <vt:variant>
        <vt:i4>0</vt:i4>
      </vt:variant>
      <vt:variant>
        <vt:i4>5</vt:i4>
      </vt:variant>
      <vt:variant>
        <vt:lpwstr>http://sts/GCMTO/Product Management/SWIFT/Documentation/SWIFT Alliance Access Information/SWIFT Alliance Access-Getting Started.pdf</vt:lpwstr>
      </vt:variant>
      <vt:variant>
        <vt:lpwstr/>
      </vt:variant>
      <vt:variant>
        <vt:i4>5439512</vt:i4>
      </vt:variant>
      <vt:variant>
        <vt:i4>966</vt:i4>
      </vt:variant>
      <vt:variant>
        <vt:i4>0</vt:i4>
      </vt:variant>
      <vt:variant>
        <vt:i4>5</vt:i4>
      </vt:variant>
      <vt:variant>
        <vt:lpwstr>http://sts/GCMTO/Product Management/SWIFT/Documentation/SWIFTNet/SWIFTNet.pdf</vt:lpwstr>
      </vt:variant>
      <vt:variant>
        <vt:lpwstr/>
      </vt:variant>
      <vt:variant>
        <vt:i4>3342439</vt:i4>
      </vt:variant>
      <vt:variant>
        <vt:i4>963</vt:i4>
      </vt:variant>
      <vt:variant>
        <vt:i4>0</vt:i4>
      </vt:variant>
      <vt:variant>
        <vt:i4>5</vt:i4>
      </vt:variant>
      <vt:variant>
        <vt:lpwstr>http://sts/GCMTO/Product Management/SWIFT/Documentation/SWIFTNet/SWIFTNet_ServiceDescription_Jan2005.pdf</vt:lpwstr>
      </vt:variant>
      <vt:variant>
        <vt:lpwstr/>
      </vt:variant>
      <vt:variant>
        <vt:i4>1376256</vt:i4>
      </vt:variant>
      <vt:variant>
        <vt:i4>960</vt:i4>
      </vt:variant>
      <vt:variant>
        <vt:i4>0</vt:i4>
      </vt:variant>
      <vt:variant>
        <vt:i4>5</vt:i4>
      </vt:variant>
      <vt:variant>
        <vt:lpwstr>http://sts/GCMTO/Product Management/SWIFT/Documentation/SWIFT Security/SWIFTNet_Security_Certificate_Administration_Guide.pdf</vt:lpwstr>
      </vt:variant>
      <vt:variant>
        <vt:lpwstr/>
      </vt:variant>
      <vt:variant>
        <vt:i4>1507422</vt:i4>
      </vt:variant>
      <vt:variant>
        <vt:i4>957</vt:i4>
      </vt:variant>
      <vt:variant>
        <vt:i4>0</vt:i4>
      </vt:variant>
      <vt:variant>
        <vt:i4>5</vt:i4>
      </vt:variant>
      <vt:variant>
        <vt:lpwstr>http://sts/GCMTO/Product Management/SWIFT/Documentation/SWIFT Security/SWIFTNet_Security_FAQ_July2002_v1.pdf</vt:lpwstr>
      </vt:variant>
      <vt:variant>
        <vt:lpwstr/>
      </vt:variant>
      <vt:variant>
        <vt:i4>1572865</vt:i4>
      </vt:variant>
      <vt:variant>
        <vt:i4>954</vt:i4>
      </vt:variant>
      <vt:variant>
        <vt:i4>0</vt:i4>
      </vt:variant>
      <vt:variant>
        <vt:i4>5</vt:i4>
      </vt:variant>
      <vt:variant>
        <vt:lpwstr>http://sts/GCMTO/Product Management/SWIFT/Documentation/FIN Message Documentation/List of SWIFT FIN Message Types.doc</vt:lpwstr>
      </vt:variant>
      <vt:variant>
        <vt:lpwstr/>
      </vt:variant>
      <vt:variant>
        <vt:i4>2162751</vt:i4>
      </vt:variant>
      <vt:variant>
        <vt:i4>951</vt:i4>
      </vt:variant>
      <vt:variant>
        <vt:i4>0</vt:i4>
      </vt:variant>
      <vt:variant>
        <vt:i4>5</vt:i4>
      </vt:variant>
      <vt:variant>
        <vt:lpwstr>http://sts/GCMTO/Product Management/SWIFT/Documentation/FIN Message Documentation/SWIFT-Category N - Common Group Messages.pdf</vt:lpwstr>
      </vt:variant>
      <vt:variant>
        <vt:lpwstr/>
      </vt:variant>
      <vt:variant>
        <vt:i4>6029392</vt:i4>
      </vt:variant>
      <vt:variant>
        <vt:i4>948</vt:i4>
      </vt:variant>
      <vt:variant>
        <vt:i4>0</vt:i4>
      </vt:variant>
      <vt:variant>
        <vt:i4>5</vt:i4>
      </vt:variant>
      <vt:variant>
        <vt:lpwstr>http://sts/GCMTO/Product Management/SWIFT/Documentation/FIN Message Documentation/SWIFT-Category 9 - Cash Management and Customer Status Messages.pdf</vt:lpwstr>
      </vt:variant>
      <vt:variant>
        <vt:lpwstr/>
      </vt:variant>
      <vt:variant>
        <vt:i4>1835088</vt:i4>
      </vt:variant>
      <vt:variant>
        <vt:i4>945</vt:i4>
      </vt:variant>
      <vt:variant>
        <vt:i4>0</vt:i4>
      </vt:variant>
      <vt:variant>
        <vt:i4>5</vt:i4>
      </vt:variant>
      <vt:variant>
        <vt:lpwstr>http://sts/GCMTO/Product Management/Fort Knox/Project Fort Knox Vision and Scope-Version2.doc</vt:lpwstr>
      </vt:variant>
      <vt:variant>
        <vt:lpwstr/>
      </vt:variant>
      <vt:variant>
        <vt:i4>7274574</vt:i4>
      </vt:variant>
      <vt:variant>
        <vt:i4>942</vt:i4>
      </vt:variant>
      <vt:variant>
        <vt:i4>0</vt:i4>
      </vt:variant>
      <vt:variant>
        <vt:i4>5</vt:i4>
      </vt:variant>
      <vt:variant>
        <vt:lpwstr>mailto:richguti@microsoft.com</vt:lpwstr>
      </vt:variant>
      <vt:variant>
        <vt:lpwstr/>
      </vt:variant>
      <vt:variant>
        <vt:i4>7798867</vt:i4>
      </vt:variant>
      <vt:variant>
        <vt:i4>939</vt:i4>
      </vt:variant>
      <vt:variant>
        <vt:i4>0</vt:i4>
      </vt:variant>
      <vt:variant>
        <vt:i4>5</vt:i4>
      </vt:variant>
      <vt:variant>
        <vt:lpwstr>mailto:hslee@microsoft.com</vt:lpwstr>
      </vt:variant>
      <vt:variant>
        <vt:lpwstr/>
      </vt:variant>
      <vt:variant>
        <vt:i4>196671</vt:i4>
      </vt:variant>
      <vt:variant>
        <vt:i4>936</vt:i4>
      </vt:variant>
      <vt:variant>
        <vt:i4>0</vt:i4>
      </vt:variant>
      <vt:variant>
        <vt:i4>5</vt:i4>
      </vt:variant>
      <vt:variant>
        <vt:lpwstr>mailto:jrames@microsoft.com</vt:lpwstr>
      </vt:variant>
      <vt:variant>
        <vt:lpwstr/>
      </vt:variant>
      <vt:variant>
        <vt:i4>7340105</vt:i4>
      </vt:variant>
      <vt:variant>
        <vt:i4>933</vt:i4>
      </vt:variant>
      <vt:variant>
        <vt:i4>0</vt:i4>
      </vt:variant>
      <vt:variant>
        <vt:i4>5</vt:i4>
      </vt:variant>
      <vt:variant>
        <vt:lpwstr>mailto:judyh@microsoft.com</vt:lpwstr>
      </vt:variant>
      <vt:variant>
        <vt:lpwstr/>
      </vt:variant>
      <vt:variant>
        <vt:i4>6815826</vt:i4>
      </vt:variant>
      <vt:variant>
        <vt:i4>930</vt:i4>
      </vt:variant>
      <vt:variant>
        <vt:i4>0</vt:i4>
      </vt:variant>
      <vt:variant>
        <vt:i4>5</vt:i4>
      </vt:variant>
      <vt:variant>
        <vt:lpwstr>mailto:stebryan@microsoft.com</vt:lpwstr>
      </vt:variant>
      <vt:variant>
        <vt:lpwstr/>
      </vt:variant>
      <vt:variant>
        <vt:i4>7209039</vt:i4>
      </vt:variant>
      <vt:variant>
        <vt:i4>927</vt:i4>
      </vt:variant>
      <vt:variant>
        <vt:i4>0</vt:i4>
      </vt:variant>
      <vt:variant>
        <vt:i4>5</vt:i4>
      </vt:variant>
      <vt:variant>
        <vt:lpwstr>mailto:anthonyt@microsoft.com</vt:lpwstr>
      </vt:variant>
      <vt:variant>
        <vt:lpwstr/>
      </vt:variant>
      <vt:variant>
        <vt:i4>524351</vt:i4>
      </vt:variant>
      <vt:variant>
        <vt:i4>924</vt:i4>
      </vt:variant>
      <vt:variant>
        <vt:i4>0</vt:i4>
      </vt:variant>
      <vt:variant>
        <vt:i4>5</vt:i4>
      </vt:variant>
      <vt:variant>
        <vt:lpwstr>mailto:sboylan@microsoft.com</vt:lpwstr>
      </vt:variant>
      <vt:variant>
        <vt:lpwstr/>
      </vt:variant>
      <vt:variant>
        <vt:i4>8323139</vt:i4>
      </vt:variant>
      <vt:variant>
        <vt:i4>921</vt:i4>
      </vt:variant>
      <vt:variant>
        <vt:i4>0</vt:i4>
      </vt:variant>
      <vt:variant>
        <vt:i4>5</vt:i4>
      </vt:variant>
      <vt:variant>
        <vt:lpwstr>mailto:marybroz@microsoft.com</vt:lpwstr>
      </vt:variant>
      <vt:variant>
        <vt:lpwstr/>
      </vt:variant>
      <vt:variant>
        <vt:i4>7471189</vt:i4>
      </vt:variant>
      <vt:variant>
        <vt:i4>918</vt:i4>
      </vt:variant>
      <vt:variant>
        <vt:i4>0</vt:i4>
      </vt:variant>
      <vt:variant>
        <vt:i4>5</vt:i4>
      </vt:variant>
      <vt:variant>
        <vt:lpwstr>mailto:jcue@microsoft.com</vt:lpwstr>
      </vt:variant>
      <vt:variant>
        <vt:lpwstr/>
      </vt:variant>
      <vt:variant>
        <vt:i4>393270</vt:i4>
      </vt:variant>
      <vt:variant>
        <vt:i4>915</vt:i4>
      </vt:variant>
      <vt:variant>
        <vt:i4>0</vt:i4>
      </vt:variant>
      <vt:variant>
        <vt:i4>5</vt:i4>
      </vt:variant>
      <vt:variant>
        <vt:lpwstr>mailto:bbounds@microsoft.com</vt:lpwstr>
      </vt:variant>
      <vt:variant>
        <vt:lpwstr/>
      </vt:variant>
      <vt:variant>
        <vt:i4>7405633</vt:i4>
      </vt:variant>
      <vt:variant>
        <vt:i4>912</vt:i4>
      </vt:variant>
      <vt:variant>
        <vt:i4>0</vt:i4>
      </vt:variant>
      <vt:variant>
        <vt:i4>5</vt:i4>
      </vt:variant>
      <vt:variant>
        <vt:lpwstr>mailto:edbarrie@microsoft.com</vt:lpwstr>
      </vt:variant>
      <vt:variant>
        <vt:lpwstr/>
      </vt:variant>
      <vt:variant>
        <vt:i4>8323184</vt:i4>
      </vt:variant>
      <vt:variant>
        <vt:i4>906</vt:i4>
      </vt:variant>
      <vt:variant>
        <vt:i4>0</vt:i4>
      </vt:variant>
      <vt:variant>
        <vt:i4>5</vt:i4>
      </vt:variant>
      <vt:variant>
        <vt:lpwstr>http://sts/GCMTO/Product Management/Forms/AllItems.aspx?RootFolder=%2fGCMTO%2fProduct%20Management%2fFort%20Knox&amp;SortField=Last%5fx0020%5fModified&amp;SortDir=Desc&amp;View=%7b794EF4AD%2dD67A%2d415F%2dBEC1%2d717B55A56E74%7d</vt:lpwstr>
      </vt:variant>
      <vt:variant>
        <vt:lpwstr/>
      </vt:variant>
      <vt:variant>
        <vt:i4>3801139</vt:i4>
      </vt:variant>
      <vt:variant>
        <vt:i4>897</vt:i4>
      </vt:variant>
      <vt:variant>
        <vt:i4>0</vt:i4>
      </vt:variant>
      <vt:variant>
        <vt:i4>5</vt:i4>
      </vt:variant>
      <vt:variant>
        <vt:lpwstr>http://sts/GCMTO/Product Management/SWIFT/Documentation/SWIFT Alliance Access Information/SWIFT Alliance Access-Getting Started.pdf</vt:lpwstr>
      </vt:variant>
      <vt:variant>
        <vt:lpwstr/>
      </vt:variant>
      <vt:variant>
        <vt:i4>3014774</vt:i4>
      </vt:variant>
      <vt:variant>
        <vt:i4>894</vt:i4>
      </vt:variant>
      <vt:variant>
        <vt:i4>0</vt:i4>
      </vt:variant>
      <vt:variant>
        <vt:i4>5</vt:i4>
      </vt:variant>
      <vt:variant>
        <vt:lpwstr>http://sts/GCMTO/Product Management/SWIFT/Documentation/Member Administered Closed User Groups/memberCUGs_factsheet_Sept02.pdf</vt:lpwstr>
      </vt:variant>
      <vt:variant>
        <vt:lpwstr/>
      </vt:variant>
      <vt:variant>
        <vt:i4>6488075</vt:i4>
      </vt:variant>
      <vt:variant>
        <vt:i4>891</vt:i4>
      </vt:variant>
      <vt:variant>
        <vt:i4>0</vt:i4>
      </vt:variant>
      <vt:variant>
        <vt:i4>5</vt:i4>
      </vt:variant>
      <vt:variant>
        <vt:lpwstr>http://sts/GCMTO/Product Management/SWIFT/Documentation/Infrastructure/VPN_box.pdf</vt:lpwstr>
      </vt:variant>
      <vt:variant>
        <vt:lpwstr/>
      </vt:variant>
      <vt:variant>
        <vt:i4>3801139</vt:i4>
      </vt:variant>
      <vt:variant>
        <vt:i4>888</vt:i4>
      </vt:variant>
      <vt:variant>
        <vt:i4>0</vt:i4>
      </vt:variant>
      <vt:variant>
        <vt:i4>5</vt:i4>
      </vt:variant>
      <vt:variant>
        <vt:lpwstr>http://sts/GCMTO/Product Management/SWIFT/Documentation/SWIFT Alliance Access Information/SWIFT Alliance Access-Getting Started.pdf</vt:lpwstr>
      </vt:variant>
      <vt:variant>
        <vt:lpwstr/>
      </vt:variant>
      <vt:variant>
        <vt:i4>5177389</vt:i4>
      </vt:variant>
      <vt:variant>
        <vt:i4>885</vt:i4>
      </vt:variant>
      <vt:variant>
        <vt:i4>0</vt:i4>
      </vt:variant>
      <vt:variant>
        <vt:i4>5</vt:i4>
      </vt:variant>
      <vt:variant>
        <vt:lpwstr>http://sts/GCMTO/Product Management/SWIFT/Documentation/Infrastructure/SWIFTNet_Secure_IP_Net.pdf</vt:lpwstr>
      </vt:variant>
      <vt:variant>
        <vt:lpwstr/>
      </vt:variant>
      <vt:variant>
        <vt:i4>7143504</vt:i4>
      </vt:variant>
      <vt:variant>
        <vt:i4>882</vt:i4>
      </vt:variant>
      <vt:variant>
        <vt:i4>0</vt:i4>
      </vt:variant>
      <vt:variant>
        <vt:i4>5</vt:i4>
      </vt:variant>
      <vt:variant>
        <vt:lpwstr>mailto:swifthelp@microsoft.com</vt:lpwstr>
      </vt:variant>
      <vt:variant>
        <vt:lpwstr/>
      </vt:variant>
      <vt:variant>
        <vt:i4>6225920</vt:i4>
      </vt:variant>
      <vt:variant>
        <vt:i4>879</vt:i4>
      </vt:variant>
      <vt:variant>
        <vt:i4>0</vt:i4>
      </vt:variant>
      <vt:variant>
        <vt:i4>5</vt:i4>
      </vt:variant>
      <vt:variant>
        <vt:lpwstr>http://sts/GCMTO/Product Management/Forms/AllItems.aspx?RootFolder=%2fGCMTO%2fProduct%20Management%2fFort%20Knox%2fTest%20Data&amp;SortField=Last%5fx0020%5fModified&amp;SortDir=Desc&amp;View=%7b794EF4AD%2dD67A%2d415F%2dBEC1%2d717B55A56E74%7d</vt:lpwstr>
      </vt:variant>
      <vt:variant>
        <vt:lpwstr/>
      </vt:variant>
      <vt:variant>
        <vt:i4>6029392</vt:i4>
      </vt:variant>
      <vt:variant>
        <vt:i4>876</vt:i4>
      </vt:variant>
      <vt:variant>
        <vt:i4>0</vt:i4>
      </vt:variant>
      <vt:variant>
        <vt:i4>5</vt:i4>
      </vt:variant>
      <vt:variant>
        <vt:lpwstr>http://sts/GCMTO/Product Management/SWIFT/Documentation/FIN Message Documentation/SWIFT-Category 9 - Cash Management and Customer Status Messages.pdf</vt:lpwstr>
      </vt:variant>
      <vt:variant>
        <vt:lpwstr/>
      </vt:variant>
      <vt:variant>
        <vt:i4>2883640</vt:i4>
      </vt:variant>
      <vt:variant>
        <vt:i4>873</vt:i4>
      </vt:variant>
      <vt:variant>
        <vt:i4>0</vt:i4>
      </vt:variant>
      <vt:variant>
        <vt:i4>5</vt:i4>
      </vt:variant>
      <vt:variant>
        <vt:lpwstr>http://sts/GCMTO/Product Management/Fort Knox/FIN Message Mapping/MT940 to FINSTA IDOC Mapping.xls</vt:lpwstr>
      </vt:variant>
      <vt:variant>
        <vt:lpwstr/>
      </vt:variant>
      <vt:variant>
        <vt:i4>6029392</vt:i4>
      </vt:variant>
      <vt:variant>
        <vt:i4>867</vt:i4>
      </vt:variant>
      <vt:variant>
        <vt:i4>0</vt:i4>
      </vt:variant>
      <vt:variant>
        <vt:i4>5</vt:i4>
      </vt:variant>
      <vt:variant>
        <vt:lpwstr>http://sts/GCMTO/Product Management/SWIFT/Documentation/FIN Message Documentation/SWIFT-Category 9 - Cash Management and Customer Status Messages.pdf</vt:lpwstr>
      </vt:variant>
      <vt:variant>
        <vt:lpwstr/>
      </vt:variant>
      <vt:variant>
        <vt:i4>1245237</vt:i4>
      </vt:variant>
      <vt:variant>
        <vt:i4>863</vt:i4>
      </vt:variant>
      <vt:variant>
        <vt:i4>0</vt:i4>
      </vt:variant>
      <vt:variant>
        <vt:i4>5</vt:i4>
      </vt:variant>
      <vt:variant>
        <vt:lpwstr/>
      </vt:variant>
      <vt:variant>
        <vt:lpwstr>_Toc121652026</vt:lpwstr>
      </vt:variant>
      <vt:variant>
        <vt:i4>1245237</vt:i4>
      </vt:variant>
      <vt:variant>
        <vt:i4>860</vt:i4>
      </vt:variant>
      <vt:variant>
        <vt:i4>0</vt:i4>
      </vt:variant>
      <vt:variant>
        <vt:i4>5</vt:i4>
      </vt:variant>
      <vt:variant>
        <vt:lpwstr/>
      </vt:variant>
      <vt:variant>
        <vt:lpwstr>_Toc121652025</vt:lpwstr>
      </vt:variant>
      <vt:variant>
        <vt:i4>1245237</vt:i4>
      </vt:variant>
      <vt:variant>
        <vt:i4>857</vt:i4>
      </vt:variant>
      <vt:variant>
        <vt:i4>0</vt:i4>
      </vt:variant>
      <vt:variant>
        <vt:i4>5</vt:i4>
      </vt:variant>
      <vt:variant>
        <vt:lpwstr/>
      </vt:variant>
      <vt:variant>
        <vt:lpwstr>_Toc121652024</vt:lpwstr>
      </vt:variant>
      <vt:variant>
        <vt:i4>1245237</vt:i4>
      </vt:variant>
      <vt:variant>
        <vt:i4>854</vt:i4>
      </vt:variant>
      <vt:variant>
        <vt:i4>0</vt:i4>
      </vt:variant>
      <vt:variant>
        <vt:i4>5</vt:i4>
      </vt:variant>
      <vt:variant>
        <vt:lpwstr/>
      </vt:variant>
      <vt:variant>
        <vt:lpwstr>_Toc121652023</vt:lpwstr>
      </vt:variant>
      <vt:variant>
        <vt:i4>1245237</vt:i4>
      </vt:variant>
      <vt:variant>
        <vt:i4>851</vt:i4>
      </vt:variant>
      <vt:variant>
        <vt:i4>0</vt:i4>
      </vt:variant>
      <vt:variant>
        <vt:i4>5</vt:i4>
      </vt:variant>
      <vt:variant>
        <vt:lpwstr/>
      </vt:variant>
      <vt:variant>
        <vt:lpwstr>_Toc121652022</vt:lpwstr>
      </vt:variant>
      <vt:variant>
        <vt:i4>1245237</vt:i4>
      </vt:variant>
      <vt:variant>
        <vt:i4>848</vt:i4>
      </vt:variant>
      <vt:variant>
        <vt:i4>0</vt:i4>
      </vt:variant>
      <vt:variant>
        <vt:i4>5</vt:i4>
      </vt:variant>
      <vt:variant>
        <vt:lpwstr/>
      </vt:variant>
      <vt:variant>
        <vt:lpwstr>_Toc121652021</vt:lpwstr>
      </vt:variant>
      <vt:variant>
        <vt:i4>1245237</vt:i4>
      </vt:variant>
      <vt:variant>
        <vt:i4>845</vt:i4>
      </vt:variant>
      <vt:variant>
        <vt:i4>0</vt:i4>
      </vt:variant>
      <vt:variant>
        <vt:i4>5</vt:i4>
      </vt:variant>
      <vt:variant>
        <vt:lpwstr/>
      </vt:variant>
      <vt:variant>
        <vt:lpwstr>_Toc121652020</vt:lpwstr>
      </vt:variant>
      <vt:variant>
        <vt:i4>1048629</vt:i4>
      </vt:variant>
      <vt:variant>
        <vt:i4>842</vt:i4>
      </vt:variant>
      <vt:variant>
        <vt:i4>0</vt:i4>
      </vt:variant>
      <vt:variant>
        <vt:i4>5</vt:i4>
      </vt:variant>
      <vt:variant>
        <vt:lpwstr/>
      </vt:variant>
      <vt:variant>
        <vt:lpwstr>_Toc121652019</vt:lpwstr>
      </vt:variant>
      <vt:variant>
        <vt:i4>1048629</vt:i4>
      </vt:variant>
      <vt:variant>
        <vt:i4>839</vt:i4>
      </vt:variant>
      <vt:variant>
        <vt:i4>0</vt:i4>
      </vt:variant>
      <vt:variant>
        <vt:i4>5</vt:i4>
      </vt:variant>
      <vt:variant>
        <vt:lpwstr/>
      </vt:variant>
      <vt:variant>
        <vt:lpwstr>_Toc121652018</vt:lpwstr>
      </vt:variant>
      <vt:variant>
        <vt:i4>1048629</vt:i4>
      </vt:variant>
      <vt:variant>
        <vt:i4>836</vt:i4>
      </vt:variant>
      <vt:variant>
        <vt:i4>0</vt:i4>
      </vt:variant>
      <vt:variant>
        <vt:i4>5</vt:i4>
      </vt:variant>
      <vt:variant>
        <vt:lpwstr/>
      </vt:variant>
      <vt:variant>
        <vt:lpwstr>_Toc121652017</vt:lpwstr>
      </vt:variant>
      <vt:variant>
        <vt:i4>1048629</vt:i4>
      </vt:variant>
      <vt:variant>
        <vt:i4>833</vt:i4>
      </vt:variant>
      <vt:variant>
        <vt:i4>0</vt:i4>
      </vt:variant>
      <vt:variant>
        <vt:i4>5</vt:i4>
      </vt:variant>
      <vt:variant>
        <vt:lpwstr/>
      </vt:variant>
      <vt:variant>
        <vt:lpwstr>_Toc121652016</vt:lpwstr>
      </vt:variant>
      <vt:variant>
        <vt:i4>1048629</vt:i4>
      </vt:variant>
      <vt:variant>
        <vt:i4>830</vt:i4>
      </vt:variant>
      <vt:variant>
        <vt:i4>0</vt:i4>
      </vt:variant>
      <vt:variant>
        <vt:i4>5</vt:i4>
      </vt:variant>
      <vt:variant>
        <vt:lpwstr/>
      </vt:variant>
      <vt:variant>
        <vt:lpwstr>_Toc121652015</vt:lpwstr>
      </vt:variant>
      <vt:variant>
        <vt:i4>1048629</vt:i4>
      </vt:variant>
      <vt:variant>
        <vt:i4>827</vt:i4>
      </vt:variant>
      <vt:variant>
        <vt:i4>0</vt:i4>
      </vt:variant>
      <vt:variant>
        <vt:i4>5</vt:i4>
      </vt:variant>
      <vt:variant>
        <vt:lpwstr/>
      </vt:variant>
      <vt:variant>
        <vt:lpwstr>_Toc121652014</vt:lpwstr>
      </vt:variant>
      <vt:variant>
        <vt:i4>1048629</vt:i4>
      </vt:variant>
      <vt:variant>
        <vt:i4>824</vt:i4>
      </vt:variant>
      <vt:variant>
        <vt:i4>0</vt:i4>
      </vt:variant>
      <vt:variant>
        <vt:i4>5</vt:i4>
      </vt:variant>
      <vt:variant>
        <vt:lpwstr/>
      </vt:variant>
      <vt:variant>
        <vt:lpwstr>_Toc121652013</vt:lpwstr>
      </vt:variant>
      <vt:variant>
        <vt:i4>1048629</vt:i4>
      </vt:variant>
      <vt:variant>
        <vt:i4>821</vt:i4>
      </vt:variant>
      <vt:variant>
        <vt:i4>0</vt:i4>
      </vt:variant>
      <vt:variant>
        <vt:i4>5</vt:i4>
      </vt:variant>
      <vt:variant>
        <vt:lpwstr/>
      </vt:variant>
      <vt:variant>
        <vt:lpwstr>_Toc121652012</vt:lpwstr>
      </vt:variant>
      <vt:variant>
        <vt:i4>1048629</vt:i4>
      </vt:variant>
      <vt:variant>
        <vt:i4>818</vt:i4>
      </vt:variant>
      <vt:variant>
        <vt:i4>0</vt:i4>
      </vt:variant>
      <vt:variant>
        <vt:i4>5</vt:i4>
      </vt:variant>
      <vt:variant>
        <vt:lpwstr/>
      </vt:variant>
      <vt:variant>
        <vt:lpwstr>_Toc121652011</vt:lpwstr>
      </vt:variant>
      <vt:variant>
        <vt:i4>1048629</vt:i4>
      </vt:variant>
      <vt:variant>
        <vt:i4>815</vt:i4>
      </vt:variant>
      <vt:variant>
        <vt:i4>0</vt:i4>
      </vt:variant>
      <vt:variant>
        <vt:i4>5</vt:i4>
      </vt:variant>
      <vt:variant>
        <vt:lpwstr/>
      </vt:variant>
      <vt:variant>
        <vt:lpwstr>_Toc121652010</vt:lpwstr>
      </vt:variant>
      <vt:variant>
        <vt:i4>1114165</vt:i4>
      </vt:variant>
      <vt:variant>
        <vt:i4>812</vt:i4>
      </vt:variant>
      <vt:variant>
        <vt:i4>0</vt:i4>
      </vt:variant>
      <vt:variant>
        <vt:i4>5</vt:i4>
      </vt:variant>
      <vt:variant>
        <vt:lpwstr/>
      </vt:variant>
      <vt:variant>
        <vt:lpwstr>_Toc121652009</vt:lpwstr>
      </vt:variant>
      <vt:variant>
        <vt:i4>1114165</vt:i4>
      </vt:variant>
      <vt:variant>
        <vt:i4>809</vt:i4>
      </vt:variant>
      <vt:variant>
        <vt:i4>0</vt:i4>
      </vt:variant>
      <vt:variant>
        <vt:i4>5</vt:i4>
      </vt:variant>
      <vt:variant>
        <vt:lpwstr/>
      </vt:variant>
      <vt:variant>
        <vt:lpwstr>_Toc121652008</vt:lpwstr>
      </vt:variant>
      <vt:variant>
        <vt:i4>1114165</vt:i4>
      </vt:variant>
      <vt:variant>
        <vt:i4>806</vt:i4>
      </vt:variant>
      <vt:variant>
        <vt:i4>0</vt:i4>
      </vt:variant>
      <vt:variant>
        <vt:i4>5</vt:i4>
      </vt:variant>
      <vt:variant>
        <vt:lpwstr/>
      </vt:variant>
      <vt:variant>
        <vt:lpwstr>_Toc121652007</vt:lpwstr>
      </vt:variant>
      <vt:variant>
        <vt:i4>1114165</vt:i4>
      </vt:variant>
      <vt:variant>
        <vt:i4>803</vt:i4>
      </vt:variant>
      <vt:variant>
        <vt:i4>0</vt:i4>
      </vt:variant>
      <vt:variant>
        <vt:i4>5</vt:i4>
      </vt:variant>
      <vt:variant>
        <vt:lpwstr/>
      </vt:variant>
      <vt:variant>
        <vt:lpwstr>_Toc121652006</vt:lpwstr>
      </vt:variant>
      <vt:variant>
        <vt:i4>1114165</vt:i4>
      </vt:variant>
      <vt:variant>
        <vt:i4>800</vt:i4>
      </vt:variant>
      <vt:variant>
        <vt:i4>0</vt:i4>
      </vt:variant>
      <vt:variant>
        <vt:i4>5</vt:i4>
      </vt:variant>
      <vt:variant>
        <vt:lpwstr/>
      </vt:variant>
      <vt:variant>
        <vt:lpwstr>_Toc121652005</vt:lpwstr>
      </vt:variant>
      <vt:variant>
        <vt:i4>1114165</vt:i4>
      </vt:variant>
      <vt:variant>
        <vt:i4>797</vt:i4>
      </vt:variant>
      <vt:variant>
        <vt:i4>0</vt:i4>
      </vt:variant>
      <vt:variant>
        <vt:i4>5</vt:i4>
      </vt:variant>
      <vt:variant>
        <vt:lpwstr/>
      </vt:variant>
      <vt:variant>
        <vt:lpwstr>_Toc121652004</vt:lpwstr>
      </vt:variant>
      <vt:variant>
        <vt:i4>1114165</vt:i4>
      </vt:variant>
      <vt:variant>
        <vt:i4>794</vt:i4>
      </vt:variant>
      <vt:variant>
        <vt:i4>0</vt:i4>
      </vt:variant>
      <vt:variant>
        <vt:i4>5</vt:i4>
      </vt:variant>
      <vt:variant>
        <vt:lpwstr/>
      </vt:variant>
      <vt:variant>
        <vt:lpwstr>_Toc121652003</vt:lpwstr>
      </vt:variant>
      <vt:variant>
        <vt:i4>1114165</vt:i4>
      </vt:variant>
      <vt:variant>
        <vt:i4>791</vt:i4>
      </vt:variant>
      <vt:variant>
        <vt:i4>0</vt:i4>
      </vt:variant>
      <vt:variant>
        <vt:i4>5</vt:i4>
      </vt:variant>
      <vt:variant>
        <vt:lpwstr/>
      </vt:variant>
      <vt:variant>
        <vt:lpwstr>_Toc121652002</vt:lpwstr>
      </vt:variant>
      <vt:variant>
        <vt:i4>1114165</vt:i4>
      </vt:variant>
      <vt:variant>
        <vt:i4>788</vt:i4>
      </vt:variant>
      <vt:variant>
        <vt:i4>0</vt:i4>
      </vt:variant>
      <vt:variant>
        <vt:i4>5</vt:i4>
      </vt:variant>
      <vt:variant>
        <vt:lpwstr/>
      </vt:variant>
      <vt:variant>
        <vt:lpwstr>_Toc121652001</vt:lpwstr>
      </vt:variant>
      <vt:variant>
        <vt:i4>1114165</vt:i4>
      </vt:variant>
      <vt:variant>
        <vt:i4>785</vt:i4>
      </vt:variant>
      <vt:variant>
        <vt:i4>0</vt:i4>
      </vt:variant>
      <vt:variant>
        <vt:i4>5</vt:i4>
      </vt:variant>
      <vt:variant>
        <vt:lpwstr/>
      </vt:variant>
      <vt:variant>
        <vt:lpwstr>_Toc121652000</vt:lpwstr>
      </vt:variant>
      <vt:variant>
        <vt:i4>1769532</vt:i4>
      </vt:variant>
      <vt:variant>
        <vt:i4>782</vt:i4>
      </vt:variant>
      <vt:variant>
        <vt:i4>0</vt:i4>
      </vt:variant>
      <vt:variant>
        <vt:i4>5</vt:i4>
      </vt:variant>
      <vt:variant>
        <vt:lpwstr/>
      </vt:variant>
      <vt:variant>
        <vt:lpwstr>_Toc121651998</vt:lpwstr>
      </vt:variant>
      <vt:variant>
        <vt:i4>1769532</vt:i4>
      </vt:variant>
      <vt:variant>
        <vt:i4>779</vt:i4>
      </vt:variant>
      <vt:variant>
        <vt:i4>0</vt:i4>
      </vt:variant>
      <vt:variant>
        <vt:i4>5</vt:i4>
      </vt:variant>
      <vt:variant>
        <vt:lpwstr/>
      </vt:variant>
      <vt:variant>
        <vt:lpwstr>_Toc121651997</vt:lpwstr>
      </vt:variant>
      <vt:variant>
        <vt:i4>1769532</vt:i4>
      </vt:variant>
      <vt:variant>
        <vt:i4>776</vt:i4>
      </vt:variant>
      <vt:variant>
        <vt:i4>0</vt:i4>
      </vt:variant>
      <vt:variant>
        <vt:i4>5</vt:i4>
      </vt:variant>
      <vt:variant>
        <vt:lpwstr/>
      </vt:variant>
      <vt:variant>
        <vt:lpwstr>_Toc121651996</vt:lpwstr>
      </vt:variant>
      <vt:variant>
        <vt:i4>1769532</vt:i4>
      </vt:variant>
      <vt:variant>
        <vt:i4>773</vt:i4>
      </vt:variant>
      <vt:variant>
        <vt:i4>0</vt:i4>
      </vt:variant>
      <vt:variant>
        <vt:i4>5</vt:i4>
      </vt:variant>
      <vt:variant>
        <vt:lpwstr/>
      </vt:variant>
      <vt:variant>
        <vt:lpwstr>_Toc121651995</vt:lpwstr>
      </vt:variant>
      <vt:variant>
        <vt:i4>1769532</vt:i4>
      </vt:variant>
      <vt:variant>
        <vt:i4>770</vt:i4>
      </vt:variant>
      <vt:variant>
        <vt:i4>0</vt:i4>
      </vt:variant>
      <vt:variant>
        <vt:i4>5</vt:i4>
      </vt:variant>
      <vt:variant>
        <vt:lpwstr/>
      </vt:variant>
      <vt:variant>
        <vt:lpwstr>_Toc121651994</vt:lpwstr>
      </vt:variant>
      <vt:variant>
        <vt:i4>1769532</vt:i4>
      </vt:variant>
      <vt:variant>
        <vt:i4>767</vt:i4>
      </vt:variant>
      <vt:variant>
        <vt:i4>0</vt:i4>
      </vt:variant>
      <vt:variant>
        <vt:i4>5</vt:i4>
      </vt:variant>
      <vt:variant>
        <vt:lpwstr/>
      </vt:variant>
      <vt:variant>
        <vt:lpwstr>_Toc121651993</vt:lpwstr>
      </vt:variant>
      <vt:variant>
        <vt:i4>1769532</vt:i4>
      </vt:variant>
      <vt:variant>
        <vt:i4>764</vt:i4>
      </vt:variant>
      <vt:variant>
        <vt:i4>0</vt:i4>
      </vt:variant>
      <vt:variant>
        <vt:i4>5</vt:i4>
      </vt:variant>
      <vt:variant>
        <vt:lpwstr/>
      </vt:variant>
      <vt:variant>
        <vt:lpwstr>_Toc121651992</vt:lpwstr>
      </vt:variant>
      <vt:variant>
        <vt:i4>1769532</vt:i4>
      </vt:variant>
      <vt:variant>
        <vt:i4>761</vt:i4>
      </vt:variant>
      <vt:variant>
        <vt:i4>0</vt:i4>
      </vt:variant>
      <vt:variant>
        <vt:i4>5</vt:i4>
      </vt:variant>
      <vt:variant>
        <vt:lpwstr/>
      </vt:variant>
      <vt:variant>
        <vt:lpwstr>_Toc121651991</vt:lpwstr>
      </vt:variant>
      <vt:variant>
        <vt:i4>1769532</vt:i4>
      </vt:variant>
      <vt:variant>
        <vt:i4>758</vt:i4>
      </vt:variant>
      <vt:variant>
        <vt:i4>0</vt:i4>
      </vt:variant>
      <vt:variant>
        <vt:i4>5</vt:i4>
      </vt:variant>
      <vt:variant>
        <vt:lpwstr/>
      </vt:variant>
      <vt:variant>
        <vt:lpwstr>_Toc121651990</vt:lpwstr>
      </vt:variant>
      <vt:variant>
        <vt:i4>1703996</vt:i4>
      </vt:variant>
      <vt:variant>
        <vt:i4>755</vt:i4>
      </vt:variant>
      <vt:variant>
        <vt:i4>0</vt:i4>
      </vt:variant>
      <vt:variant>
        <vt:i4>5</vt:i4>
      </vt:variant>
      <vt:variant>
        <vt:lpwstr/>
      </vt:variant>
      <vt:variant>
        <vt:lpwstr>_Toc121651989</vt:lpwstr>
      </vt:variant>
      <vt:variant>
        <vt:i4>1703996</vt:i4>
      </vt:variant>
      <vt:variant>
        <vt:i4>752</vt:i4>
      </vt:variant>
      <vt:variant>
        <vt:i4>0</vt:i4>
      </vt:variant>
      <vt:variant>
        <vt:i4>5</vt:i4>
      </vt:variant>
      <vt:variant>
        <vt:lpwstr/>
      </vt:variant>
      <vt:variant>
        <vt:lpwstr>_Toc121651988</vt:lpwstr>
      </vt:variant>
      <vt:variant>
        <vt:i4>1703996</vt:i4>
      </vt:variant>
      <vt:variant>
        <vt:i4>749</vt:i4>
      </vt:variant>
      <vt:variant>
        <vt:i4>0</vt:i4>
      </vt:variant>
      <vt:variant>
        <vt:i4>5</vt:i4>
      </vt:variant>
      <vt:variant>
        <vt:lpwstr/>
      </vt:variant>
      <vt:variant>
        <vt:lpwstr>_Toc121651987</vt:lpwstr>
      </vt:variant>
      <vt:variant>
        <vt:i4>1703996</vt:i4>
      </vt:variant>
      <vt:variant>
        <vt:i4>746</vt:i4>
      </vt:variant>
      <vt:variant>
        <vt:i4>0</vt:i4>
      </vt:variant>
      <vt:variant>
        <vt:i4>5</vt:i4>
      </vt:variant>
      <vt:variant>
        <vt:lpwstr/>
      </vt:variant>
      <vt:variant>
        <vt:lpwstr>_Toc121651986</vt:lpwstr>
      </vt:variant>
      <vt:variant>
        <vt:i4>1703996</vt:i4>
      </vt:variant>
      <vt:variant>
        <vt:i4>743</vt:i4>
      </vt:variant>
      <vt:variant>
        <vt:i4>0</vt:i4>
      </vt:variant>
      <vt:variant>
        <vt:i4>5</vt:i4>
      </vt:variant>
      <vt:variant>
        <vt:lpwstr/>
      </vt:variant>
      <vt:variant>
        <vt:lpwstr>_Toc121651985</vt:lpwstr>
      </vt:variant>
      <vt:variant>
        <vt:i4>1703996</vt:i4>
      </vt:variant>
      <vt:variant>
        <vt:i4>740</vt:i4>
      </vt:variant>
      <vt:variant>
        <vt:i4>0</vt:i4>
      </vt:variant>
      <vt:variant>
        <vt:i4>5</vt:i4>
      </vt:variant>
      <vt:variant>
        <vt:lpwstr/>
      </vt:variant>
      <vt:variant>
        <vt:lpwstr>_Toc121651984</vt:lpwstr>
      </vt:variant>
      <vt:variant>
        <vt:i4>1703996</vt:i4>
      </vt:variant>
      <vt:variant>
        <vt:i4>737</vt:i4>
      </vt:variant>
      <vt:variant>
        <vt:i4>0</vt:i4>
      </vt:variant>
      <vt:variant>
        <vt:i4>5</vt:i4>
      </vt:variant>
      <vt:variant>
        <vt:lpwstr/>
      </vt:variant>
      <vt:variant>
        <vt:lpwstr>_Toc121651983</vt:lpwstr>
      </vt:variant>
      <vt:variant>
        <vt:i4>1703996</vt:i4>
      </vt:variant>
      <vt:variant>
        <vt:i4>734</vt:i4>
      </vt:variant>
      <vt:variant>
        <vt:i4>0</vt:i4>
      </vt:variant>
      <vt:variant>
        <vt:i4>5</vt:i4>
      </vt:variant>
      <vt:variant>
        <vt:lpwstr/>
      </vt:variant>
      <vt:variant>
        <vt:lpwstr>_Toc121651982</vt:lpwstr>
      </vt:variant>
      <vt:variant>
        <vt:i4>1703996</vt:i4>
      </vt:variant>
      <vt:variant>
        <vt:i4>731</vt:i4>
      </vt:variant>
      <vt:variant>
        <vt:i4>0</vt:i4>
      </vt:variant>
      <vt:variant>
        <vt:i4>5</vt:i4>
      </vt:variant>
      <vt:variant>
        <vt:lpwstr/>
      </vt:variant>
      <vt:variant>
        <vt:lpwstr>_Toc121651981</vt:lpwstr>
      </vt:variant>
      <vt:variant>
        <vt:i4>1703996</vt:i4>
      </vt:variant>
      <vt:variant>
        <vt:i4>728</vt:i4>
      </vt:variant>
      <vt:variant>
        <vt:i4>0</vt:i4>
      </vt:variant>
      <vt:variant>
        <vt:i4>5</vt:i4>
      </vt:variant>
      <vt:variant>
        <vt:lpwstr/>
      </vt:variant>
      <vt:variant>
        <vt:lpwstr>_Toc121651980</vt:lpwstr>
      </vt:variant>
      <vt:variant>
        <vt:i4>1376316</vt:i4>
      </vt:variant>
      <vt:variant>
        <vt:i4>725</vt:i4>
      </vt:variant>
      <vt:variant>
        <vt:i4>0</vt:i4>
      </vt:variant>
      <vt:variant>
        <vt:i4>5</vt:i4>
      </vt:variant>
      <vt:variant>
        <vt:lpwstr/>
      </vt:variant>
      <vt:variant>
        <vt:lpwstr>_Toc121651979</vt:lpwstr>
      </vt:variant>
      <vt:variant>
        <vt:i4>1376316</vt:i4>
      </vt:variant>
      <vt:variant>
        <vt:i4>722</vt:i4>
      </vt:variant>
      <vt:variant>
        <vt:i4>0</vt:i4>
      </vt:variant>
      <vt:variant>
        <vt:i4>5</vt:i4>
      </vt:variant>
      <vt:variant>
        <vt:lpwstr/>
      </vt:variant>
      <vt:variant>
        <vt:lpwstr>_Toc121651978</vt:lpwstr>
      </vt:variant>
      <vt:variant>
        <vt:i4>1376316</vt:i4>
      </vt:variant>
      <vt:variant>
        <vt:i4>719</vt:i4>
      </vt:variant>
      <vt:variant>
        <vt:i4>0</vt:i4>
      </vt:variant>
      <vt:variant>
        <vt:i4>5</vt:i4>
      </vt:variant>
      <vt:variant>
        <vt:lpwstr/>
      </vt:variant>
      <vt:variant>
        <vt:lpwstr>_Toc121651977</vt:lpwstr>
      </vt:variant>
      <vt:variant>
        <vt:i4>1376316</vt:i4>
      </vt:variant>
      <vt:variant>
        <vt:i4>716</vt:i4>
      </vt:variant>
      <vt:variant>
        <vt:i4>0</vt:i4>
      </vt:variant>
      <vt:variant>
        <vt:i4>5</vt:i4>
      </vt:variant>
      <vt:variant>
        <vt:lpwstr/>
      </vt:variant>
      <vt:variant>
        <vt:lpwstr>_Toc121651976</vt:lpwstr>
      </vt:variant>
      <vt:variant>
        <vt:i4>1376316</vt:i4>
      </vt:variant>
      <vt:variant>
        <vt:i4>713</vt:i4>
      </vt:variant>
      <vt:variant>
        <vt:i4>0</vt:i4>
      </vt:variant>
      <vt:variant>
        <vt:i4>5</vt:i4>
      </vt:variant>
      <vt:variant>
        <vt:lpwstr/>
      </vt:variant>
      <vt:variant>
        <vt:lpwstr>_Toc121651975</vt:lpwstr>
      </vt:variant>
      <vt:variant>
        <vt:i4>1376316</vt:i4>
      </vt:variant>
      <vt:variant>
        <vt:i4>710</vt:i4>
      </vt:variant>
      <vt:variant>
        <vt:i4>0</vt:i4>
      </vt:variant>
      <vt:variant>
        <vt:i4>5</vt:i4>
      </vt:variant>
      <vt:variant>
        <vt:lpwstr/>
      </vt:variant>
      <vt:variant>
        <vt:lpwstr>_Toc121651974</vt:lpwstr>
      </vt:variant>
      <vt:variant>
        <vt:i4>1376316</vt:i4>
      </vt:variant>
      <vt:variant>
        <vt:i4>707</vt:i4>
      </vt:variant>
      <vt:variant>
        <vt:i4>0</vt:i4>
      </vt:variant>
      <vt:variant>
        <vt:i4>5</vt:i4>
      </vt:variant>
      <vt:variant>
        <vt:lpwstr/>
      </vt:variant>
      <vt:variant>
        <vt:lpwstr>_Toc121651973</vt:lpwstr>
      </vt:variant>
      <vt:variant>
        <vt:i4>1376316</vt:i4>
      </vt:variant>
      <vt:variant>
        <vt:i4>704</vt:i4>
      </vt:variant>
      <vt:variant>
        <vt:i4>0</vt:i4>
      </vt:variant>
      <vt:variant>
        <vt:i4>5</vt:i4>
      </vt:variant>
      <vt:variant>
        <vt:lpwstr/>
      </vt:variant>
      <vt:variant>
        <vt:lpwstr>_Toc121651972</vt:lpwstr>
      </vt:variant>
      <vt:variant>
        <vt:i4>1376316</vt:i4>
      </vt:variant>
      <vt:variant>
        <vt:i4>701</vt:i4>
      </vt:variant>
      <vt:variant>
        <vt:i4>0</vt:i4>
      </vt:variant>
      <vt:variant>
        <vt:i4>5</vt:i4>
      </vt:variant>
      <vt:variant>
        <vt:lpwstr/>
      </vt:variant>
      <vt:variant>
        <vt:lpwstr>_Toc121651971</vt:lpwstr>
      </vt:variant>
      <vt:variant>
        <vt:i4>1376316</vt:i4>
      </vt:variant>
      <vt:variant>
        <vt:i4>698</vt:i4>
      </vt:variant>
      <vt:variant>
        <vt:i4>0</vt:i4>
      </vt:variant>
      <vt:variant>
        <vt:i4>5</vt:i4>
      </vt:variant>
      <vt:variant>
        <vt:lpwstr/>
      </vt:variant>
      <vt:variant>
        <vt:lpwstr>_Toc121651970</vt:lpwstr>
      </vt:variant>
      <vt:variant>
        <vt:i4>1310780</vt:i4>
      </vt:variant>
      <vt:variant>
        <vt:i4>695</vt:i4>
      </vt:variant>
      <vt:variant>
        <vt:i4>0</vt:i4>
      </vt:variant>
      <vt:variant>
        <vt:i4>5</vt:i4>
      </vt:variant>
      <vt:variant>
        <vt:lpwstr/>
      </vt:variant>
      <vt:variant>
        <vt:lpwstr>_Toc121651969</vt:lpwstr>
      </vt:variant>
      <vt:variant>
        <vt:i4>1310780</vt:i4>
      </vt:variant>
      <vt:variant>
        <vt:i4>692</vt:i4>
      </vt:variant>
      <vt:variant>
        <vt:i4>0</vt:i4>
      </vt:variant>
      <vt:variant>
        <vt:i4>5</vt:i4>
      </vt:variant>
      <vt:variant>
        <vt:lpwstr/>
      </vt:variant>
      <vt:variant>
        <vt:lpwstr>_Toc121651968</vt:lpwstr>
      </vt:variant>
      <vt:variant>
        <vt:i4>1310780</vt:i4>
      </vt:variant>
      <vt:variant>
        <vt:i4>689</vt:i4>
      </vt:variant>
      <vt:variant>
        <vt:i4>0</vt:i4>
      </vt:variant>
      <vt:variant>
        <vt:i4>5</vt:i4>
      </vt:variant>
      <vt:variant>
        <vt:lpwstr/>
      </vt:variant>
      <vt:variant>
        <vt:lpwstr>_Toc121651967</vt:lpwstr>
      </vt:variant>
      <vt:variant>
        <vt:i4>1310780</vt:i4>
      </vt:variant>
      <vt:variant>
        <vt:i4>686</vt:i4>
      </vt:variant>
      <vt:variant>
        <vt:i4>0</vt:i4>
      </vt:variant>
      <vt:variant>
        <vt:i4>5</vt:i4>
      </vt:variant>
      <vt:variant>
        <vt:lpwstr/>
      </vt:variant>
      <vt:variant>
        <vt:lpwstr>_Toc121651966</vt:lpwstr>
      </vt:variant>
      <vt:variant>
        <vt:i4>1310780</vt:i4>
      </vt:variant>
      <vt:variant>
        <vt:i4>683</vt:i4>
      </vt:variant>
      <vt:variant>
        <vt:i4>0</vt:i4>
      </vt:variant>
      <vt:variant>
        <vt:i4>5</vt:i4>
      </vt:variant>
      <vt:variant>
        <vt:lpwstr/>
      </vt:variant>
      <vt:variant>
        <vt:lpwstr>_Toc121651965</vt:lpwstr>
      </vt:variant>
      <vt:variant>
        <vt:i4>1310780</vt:i4>
      </vt:variant>
      <vt:variant>
        <vt:i4>680</vt:i4>
      </vt:variant>
      <vt:variant>
        <vt:i4>0</vt:i4>
      </vt:variant>
      <vt:variant>
        <vt:i4>5</vt:i4>
      </vt:variant>
      <vt:variant>
        <vt:lpwstr/>
      </vt:variant>
      <vt:variant>
        <vt:lpwstr>_Toc121651964</vt:lpwstr>
      </vt:variant>
      <vt:variant>
        <vt:i4>1310780</vt:i4>
      </vt:variant>
      <vt:variant>
        <vt:i4>677</vt:i4>
      </vt:variant>
      <vt:variant>
        <vt:i4>0</vt:i4>
      </vt:variant>
      <vt:variant>
        <vt:i4>5</vt:i4>
      </vt:variant>
      <vt:variant>
        <vt:lpwstr/>
      </vt:variant>
      <vt:variant>
        <vt:lpwstr>_Toc121651963</vt:lpwstr>
      </vt:variant>
      <vt:variant>
        <vt:i4>1310780</vt:i4>
      </vt:variant>
      <vt:variant>
        <vt:i4>674</vt:i4>
      </vt:variant>
      <vt:variant>
        <vt:i4>0</vt:i4>
      </vt:variant>
      <vt:variant>
        <vt:i4>5</vt:i4>
      </vt:variant>
      <vt:variant>
        <vt:lpwstr/>
      </vt:variant>
      <vt:variant>
        <vt:lpwstr>_Toc121651962</vt:lpwstr>
      </vt:variant>
      <vt:variant>
        <vt:i4>1310780</vt:i4>
      </vt:variant>
      <vt:variant>
        <vt:i4>671</vt:i4>
      </vt:variant>
      <vt:variant>
        <vt:i4>0</vt:i4>
      </vt:variant>
      <vt:variant>
        <vt:i4>5</vt:i4>
      </vt:variant>
      <vt:variant>
        <vt:lpwstr/>
      </vt:variant>
      <vt:variant>
        <vt:lpwstr>_Toc121651961</vt:lpwstr>
      </vt:variant>
      <vt:variant>
        <vt:i4>1310780</vt:i4>
      </vt:variant>
      <vt:variant>
        <vt:i4>668</vt:i4>
      </vt:variant>
      <vt:variant>
        <vt:i4>0</vt:i4>
      </vt:variant>
      <vt:variant>
        <vt:i4>5</vt:i4>
      </vt:variant>
      <vt:variant>
        <vt:lpwstr/>
      </vt:variant>
      <vt:variant>
        <vt:lpwstr>_Toc121651960</vt:lpwstr>
      </vt:variant>
      <vt:variant>
        <vt:i4>1507388</vt:i4>
      </vt:variant>
      <vt:variant>
        <vt:i4>665</vt:i4>
      </vt:variant>
      <vt:variant>
        <vt:i4>0</vt:i4>
      </vt:variant>
      <vt:variant>
        <vt:i4>5</vt:i4>
      </vt:variant>
      <vt:variant>
        <vt:lpwstr/>
      </vt:variant>
      <vt:variant>
        <vt:lpwstr>_Toc121651959</vt:lpwstr>
      </vt:variant>
      <vt:variant>
        <vt:i4>1507388</vt:i4>
      </vt:variant>
      <vt:variant>
        <vt:i4>662</vt:i4>
      </vt:variant>
      <vt:variant>
        <vt:i4>0</vt:i4>
      </vt:variant>
      <vt:variant>
        <vt:i4>5</vt:i4>
      </vt:variant>
      <vt:variant>
        <vt:lpwstr/>
      </vt:variant>
      <vt:variant>
        <vt:lpwstr>_Toc121651958</vt:lpwstr>
      </vt:variant>
      <vt:variant>
        <vt:i4>1507388</vt:i4>
      </vt:variant>
      <vt:variant>
        <vt:i4>659</vt:i4>
      </vt:variant>
      <vt:variant>
        <vt:i4>0</vt:i4>
      </vt:variant>
      <vt:variant>
        <vt:i4>5</vt:i4>
      </vt:variant>
      <vt:variant>
        <vt:lpwstr/>
      </vt:variant>
      <vt:variant>
        <vt:lpwstr>_Toc121651957</vt:lpwstr>
      </vt:variant>
      <vt:variant>
        <vt:i4>1507388</vt:i4>
      </vt:variant>
      <vt:variant>
        <vt:i4>656</vt:i4>
      </vt:variant>
      <vt:variant>
        <vt:i4>0</vt:i4>
      </vt:variant>
      <vt:variant>
        <vt:i4>5</vt:i4>
      </vt:variant>
      <vt:variant>
        <vt:lpwstr/>
      </vt:variant>
      <vt:variant>
        <vt:lpwstr>_Toc121651956</vt:lpwstr>
      </vt:variant>
      <vt:variant>
        <vt:i4>1507388</vt:i4>
      </vt:variant>
      <vt:variant>
        <vt:i4>653</vt:i4>
      </vt:variant>
      <vt:variant>
        <vt:i4>0</vt:i4>
      </vt:variant>
      <vt:variant>
        <vt:i4>5</vt:i4>
      </vt:variant>
      <vt:variant>
        <vt:lpwstr/>
      </vt:variant>
      <vt:variant>
        <vt:lpwstr>_Toc121651955</vt:lpwstr>
      </vt:variant>
      <vt:variant>
        <vt:i4>1507388</vt:i4>
      </vt:variant>
      <vt:variant>
        <vt:i4>650</vt:i4>
      </vt:variant>
      <vt:variant>
        <vt:i4>0</vt:i4>
      </vt:variant>
      <vt:variant>
        <vt:i4>5</vt:i4>
      </vt:variant>
      <vt:variant>
        <vt:lpwstr/>
      </vt:variant>
      <vt:variant>
        <vt:lpwstr>_Toc121651954</vt:lpwstr>
      </vt:variant>
      <vt:variant>
        <vt:i4>1507388</vt:i4>
      </vt:variant>
      <vt:variant>
        <vt:i4>647</vt:i4>
      </vt:variant>
      <vt:variant>
        <vt:i4>0</vt:i4>
      </vt:variant>
      <vt:variant>
        <vt:i4>5</vt:i4>
      </vt:variant>
      <vt:variant>
        <vt:lpwstr/>
      </vt:variant>
      <vt:variant>
        <vt:lpwstr>_Toc121651953</vt:lpwstr>
      </vt:variant>
      <vt:variant>
        <vt:i4>1507388</vt:i4>
      </vt:variant>
      <vt:variant>
        <vt:i4>644</vt:i4>
      </vt:variant>
      <vt:variant>
        <vt:i4>0</vt:i4>
      </vt:variant>
      <vt:variant>
        <vt:i4>5</vt:i4>
      </vt:variant>
      <vt:variant>
        <vt:lpwstr/>
      </vt:variant>
      <vt:variant>
        <vt:lpwstr>_Toc121651952</vt:lpwstr>
      </vt:variant>
      <vt:variant>
        <vt:i4>1507388</vt:i4>
      </vt:variant>
      <vt:variant>
        <vt:i4>641</vt:i4>
      </vt:variant>
      <vt:variant>
        <vt:i4>0</vt:i4>
      </vt:variant>
      <vt:variant>
        <vt:i4>5</vt:i4>
      </vt:variant>
      <vt:variant>
        <vt:lpwstr/>
      </vt:variant>
      <vt:variant>
        <vt:lpwstr>_Toc121651951</vt:lpwstr>
      </vt:variant>
      <vt:variant>
        <vt:i4>1507388</vt:i4>
      </vt:variant>
      <vt:variant>
        <vt:i4>638</vt:i4>
      </vt:variant>
      <vt:variant>
        <vt:i4>0</vt:i4>
      </vt:variant>
      <vt:variant>
        <vt:i4>5</vt:i4>
      </vt:variant>
      <vt:variant>
        <vt:lpwstr/>
      </vt:variant>
      <vt:variant>
        <vt:lpwstr>_Toc121651950</vt:lpwstr>
      </vt:variant>
      <vt:variant>
        <vt:i4>1441852</vt:i4>
      </vt:variant>
      <vt:variant>
        <vt:i4>635</vt:i4>
      </vt:variant>
      <vt:variant>
        <vt:i4>0</vt:i4>
      </vt:variant>
      <vt:variant>
        <vt:i4>5</vt:i4>
      </vt:variant>
      <vt:variant>
        <vt:lpwstr/>
      </vt:variant>
      <vt:variant>
        <vt:lpwstr>_Toc121651949</vt:lpwstr>
      </vt:variant>
      <vt:variant>
        <vt:i4>1441852</vt:i4>
      </vt:variant>
      <vt:variant>
        <vt:i4>632</vt:i4>
      </vt:variant>
      <vt:variant>
        <vt:i4>0</vt:i4>
      </vt:variant>
      <vt:variant>
        <vt:i4>5</vt:i4>
      </vt:variant>
      <vt:variant>
        <vt:lpwstr/>
      </vt:variant>
      <vt:variant>
        <vt:lpwstr>_Toc121651948</vt:lpwstr>
      </vt:variant>
      <vt:variant>
        <vt:i4>1441852</vt:i4>
      </vt:variant>
      <vt:variant>
        <vt:i4>629</vt:i4>
      </vt:variant>
      <vt:variant>
        <vt:i4>0</vt:i4>
      </vt:variant>
      <vt:variant>
        <vt:i4>5</vt:i4>
      </vt:variant>
      <vt:variant>
        <vt:lpwstr/>
      </vt:variant>
      <vt:variant>
        <vt:lpwstr>_Toc121651947</vt:lpwstr>
      </vt:variant>
      <vt:variant>
        <vt:i4>1441852</vt:i4>
      </vt:variant>
      <vt:variant>
        <vt:i4>626</vt:i4>
      </vt:variant>
      <vt:variant>
        <vt:i4>0</vt:i4>
      </vt:variant>
      <vt:variant>
        <vt:i4>5</vt:i4>
      </vt:variant>
      <vt:variant>
        <vt:lpwstr/>
      </vt:variant>
      <vt:variant>
        <vt:lpwstr>_Toc121651946</vt:lpwstr>
      </vt:variant>
      <vt:variant>
        <vt:i4>1441852</vt:i4>
      </vt:variant>
      <vt:variant>
        <vt:i4>623</vt:i4>
      </vt:variant>
      <vt:variant>
        <vt:i4>0</vt:i4>
      </vt:variant>
      <vt:variant>
        <vt:i4>5</vt:i4>
      </vt:variant>
      <vt:variant>
        <vt:lpwstr/>
      </vt:variant>
      <vt:variant>
        <vt:lpwstr>_Toc121651945</vt:lpwstr>
      </vt:variant>
      <vt:variant>
        <vt:i4>1441852</vt:i4>
      </vt:variant>
      <vt:variant>
        <vt:i4>620</vt:i4>
      </vt:variant>
      <vt:variant>
        <vt:i4>0</vt:i4>
      </vt:variant>
      <vt:variant>
        <vt:i4>5</vt:i4>
      </vt:variant>
      <vt:variant>
        <vt:lpwstr/>
      </vt:variant>
      <vt:variant>
        <vt:lpwstr>_Toc121651944</vt:lpwstr>
      </vt:variant>
      <vt:variant>
        <vt:i4>1441852</vt:i4>
      </vt:variant>
      <vt:variant>
        <vt:i4>617</vt:i4>
      </vt:variant>
      <vt:variant>
        <vt:i4>0</vt:i4>
      </vt:variant>
      <vt:variant>
        <vt:i4>5</vt:i4>
      </vt:variant>
      <vt:variant>
        <vt:lpwstr/>
      </vt:variant>
      <vt:variant>
        <vt:lpwstr>_Toc121651943</vt:lpwstr>
      </vt:variant>
      <vt:variant>
        <vt:i4>1441852</vt:i4>
      </vt:variant>
      <vt:variant>
        <vt:i4>614</vt:i4>
      </vt:variant>
      <vt:variant>
        <vt:i4>0</vt:i4>
      </vt:variant>
      <vt:variant>
        <vt:i4>5</vt:i4>
      </vt:variant>
      <vt:variant>
        <vt:lpwstr/>
      </vt:variant>
      <vt:variant>
        <vt:lpwstr>_Toc121651942</vt:lpwstr>
      </vt:variant>
      <vt:variant>
        <vt:i4>1441852</vt:i4>
      </vt:variant>
      <vt:variant>
        <vt:i4>611</vt:i4>
      </vt:variant>
      <vt:variant>
        <vt:i4>0</vt:i4>
      </vt:variant>
      <vt:variant>
        <vt:i4>5</vt:i4>
      </vt:variant>
      <vt:variant>
        <vt:lpwstr/>
      </vt:variant>
      <vt:variant>
        <vt:lpwstr>_Toc121651941</vt:lpwstr>
      </vt:variant>
      <vt:variant>
        <vt:i4>1441852</vt:i4>
      </vt:variant>
      <vt:variant>
        <vt:i4>608</vt:i4>
      </vt:variant>
      <vt:variant>
        <vt:i4>0</vt:i4>
      </vt:variant>
      <vt:variant>
        <vt:i4>5</vt:i4>
      </vt:variant>
      <vt:variant>
        <vt:lpwstr/>
      </vt:variant>
      <vt:variant>
        <vt:lpwstr>_Toc121651940</vt:lpwstr>
      </vt:variant>
      <vt:variant>
        <vt:i4>1114172</vt:i4>
      </vt:variant>
      <vt:variant>
        <vt:i4>605</vt:i4>
      </vt:variant>
      <vt:variant>
        <vt:i4>0</vt:i4>
      </vt:variant>
      <vt:variant>
        <vt:i4>5</vt:i4>
      </vt:variant>
      <vt:variant>
        <vt:lpwstr/>
      </vt:variant>
      <vt:variant>
        <vt:lpwstr>_Toc121651939</vt:lpwstr>
      </vt:variant>
      <vt:variant>
        <vt:i4>1114172</vt:i4>
      </vt:variant>
      <vt:variant>
        <vt:i4>602</vt:i4>
      </vt:variant>
      <vt:variant>
        <vt:i4>0</vt:i4>
      </vt:variant>
      <vt:variant>
        <vt:i4>5</vt:i4>
      </vt:variant>
      <vt:variant>
        <vt:lpwstr/>
      </vt:variant>
      <vt:variant>
        <vt:lpwstr>_Toc121651938</vt:lpwstr>
      </vt:variant>
      <vt:variant>
        <vt:i4>1114172</vt:i4>
      </vt:variant>
      <vt:variant>
        <vt:i4>599</vt:i4>
      </vt:variant>
      <vt:variant>
        <vt:i4>0</vt:i4>
      </vt:variant>
      <vt:variant>
        <vt:i4>5</vt:i4>
      </vt:variant>
      <vt:variant>
        <vt:lpwstr/>
      </vt:variant>
      <vt:variant>
        <vt:lpwstr>_Toc121651937</vt:lpwstr>
      </vt:variant>
      <vt:variant>
        <vt:i4>1114172</vt:i4>
      </vt:variant>
      <vt:variant>
        <vt:i4>596</vt:i4>
      </vt:variant>
      <vt:variant>
        <vt:i4>0</vt:i4>
      </vt:variant>
      <vt:variant>
        <vt:i4>5</vt:i4>
      </vt:variant>
      <vt:variant>
        <vt:lpwstr/>
      </vt:variant>
      <vt:variant>
        <vt:lpwstr>_Toc121651936</vt:lpwstr>
      </vt:variant>
      <vt:variant>
        <vt:i4>1114172</vt:i4>
      </vt:variant>
      <vt:variant>
        <vt:i4>593</vt:i4>
      </vt:variant>
      <vt:variant>
        <vt:i4>0</vt:i4>
      </vt:variant>
      <vt:variant>
        <vt:i4>5</vt:i4>
      </vt:variant>
      <vt:variant>
        <vt:lpwstr/>
      </vt:variant>
      <vt:variant>
        <vt:lpwstr>_Toc121651935</vt:lpwstr>
      </vt:variant>
      <vt:variant>
        <vt:i4>1114172</vt:i4>
      </vt:variant>
      <vt:variant>
        <vt:i4>590</vt:i4>
      </vt:variant>
      <vt:variant>
        <vt:i4>0</vt:i4>
      </vt:variant>
      <vt:variant>
        <vt:i4>5</vt:i4>
      </vt:variant>
      <vt:variant>
        <vt:lpwstr/>
      </vt:variant>
      <vt:variant>
        <vt:lpwstr>_Toc121651934</vt:lpwstr>
      </vt:variant>
      <vt:variant>
        <vt:i4>1114172</vt:i4>
      </vt:variant>
      <vt:variant>
        <vt:i4>587</vt:i4>
      </vt:variant>
      <vt:variant>
        <vt:i4>0</vt:i4>
      </vt:variant>
      <vt:variant>
        <vt:i4>5</vt:i4>
      </vt:variant>
      <vt:variant>
        <vt:lpwstr/>
      </vt:variant>
      <vt:variant>
        <vt:lpwstr>_Toc121651933</vt:lpwstr>
      </vt:variant>
      <vt:variant>
        <vt:i4>1114172</vt:i4>
      </vt:variant>
      <vt:variant>
        <vt:i4>584</vt:i4>
      </vt:variant>
      <vt:variant>
        <vt:i4>0</vt:i4>
      </vt:variant>
      <vt:variant>
        <vt:i4>5</vt:i4>
      </vt:variant>
      <vt:variant>
        <vt:lpwstr/>
      </vt:variant>
      <vt:variant>
        <vt:lpwstr>_Toc121651932</vt:lpwstr>
      </vt:variant>
      <vt:variant>
        <vt:i4>1835061</vt:i4>
      </vt:variant>
      <vt:variant>
        <vt:i4>578</vt:i4>
      </vt:variant>
      <vt:variant>
        <vt:i4>0</vt:i4>
      </vt:variant>
      <vt:variant>
        <vt:i4>5</vt:i4>
      </vt:variant>
      <vt:variant>
        <vt:lpwstr/>
      </vt:variant>
      <vt:variant>
        <vt:lpwstr>_Toc126468458</vt:lpwstr>
      </vt:variant>
      <vt:variant>
        <vt:i4>1835061</vt:i4>
      </vt:variant>
      <vt:variant>
        <vt:i4>572</vt:i4>
      </vt:variant>
      <vt:variant>
        <vt:i4>0</vt:i4>
      </vt:variant>
      <vt:variant>
        <vt:i4>5</vt:i4>
      </vt:variant>
      <vt:variant>
        <vt:lpwstr/>
      </vt:variant>
      <vt:variant>
        <vt:lpwstr>_Toc126468457</vt:lpwstr>
      </vt:variant>
      <vt:variant>
        <vt:i4>1835061</vt:i4>
      </vt:variant>
      <vt:variant>
        <vt:i4>566</vt:i4>
      </vt:variant>
      <vt:variant>
        <vt:i4>0</vt:i4>
      </vt:variant>
      <vt:variant>
        <vt:i4>5</vt:i4>
      </vt:variant>
      <vt:variant>
        <vt:lpwstr/>
      </vt:variant>
      <vt:variant>
        <vt:lpwstr>_Toc126468456</vt:lpwstr>
      </vt:variant>
      <vt:variant>
        <vt:i4>1835061</vt:i4>
      </vt:variant>
      <vt:variant>
        <vt:i4>560</vt:i4>
      </vt:variant>
      <vt:variant>
        <vt:i4>0</vt:i4>
      </vt:variant>
      <vt:variant>
        <vt:i4>5</vt:i4>
      </vt:variant>
      <vt:variant>
        <vt:lpwstr/>
      </vt:variant>
      <vt:variant>
        <vt:lpwstr>_Toc126468455</vt:lpwstr>
      </vt:variant>
      <vt:variant>
        <vt:i4>1835061</vt:i4>
      </vt:variant>
      <vt:variant>
        <vt:i4>554</vt:i4>
      </vt:variant>
      <vt:variant>
        <vt:i4>0</vt:i4>
      </vt:variant>
      <vt:variant>
        <vt:i4>5</vt:i4>
      </vt:variant>
      <vt:variant>
        <vt:lpwstr/>
      </vt:variant>
      <vt:variant>
        <vt:lpwstr>_Toc126468454</vt:lpwstr>
      </vt:variant>
      <vt:variant>
        <vt:i4>1835061</vt:i4>
      </vt:variant>
      <vt:variant>
        <vt:i4>548</vt:i4>
      </vt:variant>
      <vt:variant>
        <vt:i4>0</vt:i4>
      </vt:variant>
      <vt:variant>
        <vt:i4>5</vt:i4>
      </vt:variant>
      <vt:variant>
        <vt:lpwstr/>
      </vt:variant>
      <vt:variant>
        <vt:lpwstr>_Toc126468453</vt:lpwstr>
      </vt:variant>
      <vt:variant>
        <vt:i4>1835061</vt:i4>
      </vt:variant>
      <vt:variant>
        <vt:i4>542</vt:i4>
      </vt:variant>
      <vt:variant>
        <vt:i4>0</vt:i4>
      </vt:variant>
      <vt:variant>
        <vt:i4>5</vt:i4>
      </vt:variant>
      <vt:variant>
        <vt:lpwstr/>
      </vt:variant>
      <vt:variant>
        <vt:lpwstr>_Toc126468452</vt:lpwstr>
      </vt:variant>
      <vt:variant>
        <vt:i4>1835061</vt:i4>
      </vt:variant>
      <vt:variant>
        <vt:i4>536</vt:i4>
      </vt:variant>
      <vt:variant>
        <vt:i4>0</vt:i4>
      </vt:variant>
      <vt:variant>
        <vt:i4>5</vt:i4>
      </vt:variant>
      <vt:variant>
        <vt:lpwstr/>
      </vt:variant>
      <vt:variant>
        <vt:lpwstr>_Toc126468451</vt:lpwstr>
      </vt:variant>
      <vt:variant>
        <vt:i4>1835061</vt:i4>
      </vt:variant>
      <vt:variant>
        <vt:i4>530</vt:i4>
      </vt:variant>
      <vt:variant>
        <vt:i4>0</vt:i4>
      </vt:variant>
      <vt:variant>
        <vt:i4>5</vt:i4>
      </vt:variant>
      <vt:variant>
        <vt:lpwstr/>
      </vt:variant>
      <vt:variant>
        <vt:lpwstr>_Toc126468450</vt:lpwstr>
      </vt:variant>
      <vt:variant>
        <vt:i4>1900597</vt:i4>
      </vt:variant>
      <vt:variant>
        <vt:i4>524</vt:i4>
      </vt:variant>
      <vt:variant>
        <vt:i4>0</vt:i4>
      </vt:variant>
      <vt:variant>
        <vt:i4>5</vt:i4>
      </vt:variant>
      <vt:variant>
        <vt:lpwstr/>
      </vt:variant>
      <vt:variant>
        <vt:lpwstr>_Toc126468449</vt:lpwstr>
      </vt:variant>
      <vt:variant>
        <vt:i4>1900597</vt:i4>
      </vt:variant>
      <vt:variant>
        <vt:i4>518</vt:i4>
      </vt:variant>
      <vt:variant>
        <vt:i4>0</vt:i4>
      </vt:variant>
      <vt:variant>
        <vt:i4>5</vt:i4>
      </vt:variant>
      <vt:variant>
        <vt:lpwstr/>
      </vt:variant>
      <vt:variant>
        <vt:lpwstr>_Toc126468448</vt:lpwstr>
      </vt:variant>
      <vt:variant>
        <vt:i4>1900597</vt:i4>
      </vt:variant>
      <vt:variant>
        <vt:i4>512</vt:i4>
      </vt:variant>
      <vt:variant>
        <vt:i4>0</vt:i4>
      </vt:variant>
      <vt:variant>
        <vt:i4>5</vt:i4>
      </vt:variant>
      <vt:variant>
        <vt:lpwstr/>
      </vt:variant>
      <vt:variant>
        <vt:lpwstr>_Toc126468447</vt:lpwstr>
      </vt:variant>
      <vt:variant>
        <vt:i4>1900597</vt:i4>
      </vt:variant>
      <vt:variant>
        <vt:i4>506</vt:i4>
      </vt:variant>
      <vt:variant>
        <vt:i4>0</vt:i4>
      </vt:variant>
      <vt:variant>
        <vt:i4>5</vt:i4>
      </vt:variant>
      <vt:variant>
        <vt:lpwstr/>
      </vt:variant>
      <vt:variant>
        <vt:lpwstr>_Toc126468446</vt:lpwstr>
      </vt:variant>
      <vt:variant>
        <vt:i4>1900597</vt:i4>
      </vt:variant>
      <vt:variant>
        <vt:i4>500</vt:i4>
      </vt:variant>
      <vt:variant>
        <vt:i4>0</vt:i4>
      </vt:variant>
      <vt:variant>
        <vt:i4>5</vt:i4>
      </vt:variant>
      <vt:variant>
        <vt:lpwstr/>
      </vt:variant>
      <vt:variant>
        <vt:lpwstr>_Toc126468445</vt:lpwstr>
      </vt:variant>
      <vt:variant>
        <vt:i4>1900597</vt:i4>
      </vt:variant>
      <vt:variant>
        <vt:i4>494</vt:i4>
      </vt:variant>
      <vt:variant>
        <vt:i4>0</vt:i4>
      </vt:variant>
      <vt:variant>
        <vt:i4>5</vt:i4>
      </vt:variant>
      <vt:variant>
        <vt:lpwstr/>
      </vt:variant>
      <vt:variant>
        <vt:lpwstr>_Toc126468444</vt:lpwstr>
      </vt:variant>
      <vt:variant>
        <vt:i4>1900597</vt:i4>
      </vt:variant>
      <vt:variant>
        <vt:i4>488</vt:i4>
      </vt:variant>
      <vt:variant>
        <vt:i4>0</vt:i4>
      </vt:variant>
      <vt:variant>
        <vt:i4>5</vt:i4>
      </vt:variant>
      <vt:variant>
        <vt:lpwstr/>
      </vt:variant>
      <vt:variant>
        <vt:lpwstr>_Toc126468443</vt:lpwstr>
      </vt:variant>
      <vt:variant>
        <vt:i4>1900597</vt:i4>
      </vt:variant>
      <vt:variant>
        <vt:i4>482</vt:i4>
      </vt:variant>
      <vt:variant>
        <vt:i4>0</vt:i4>
      </vt:variant>
      <vt:variant>
        <vt:i4>5</vt:i4>
      </vt:variant>
      <vt:variant>
        <vt:lpwstr/>
      </vt:variant>
      <vt:variant>
        <vt:lpwstr>_Toc126468442</vt:lpwstr>
      </vt:variant>
      <vt:variant>
        <vt:i4>1900597</vt:i4>
      </vt:variant>
      <vt:variant>
        <vt:i4>476</vt:i4>
      </vt:variant>
      <vt:variant>
        <vt:i4>0</vt:i4>
      </vt:variant>
      <vt:variant>
        <vt:i4>5</vt:i4>
      </vt:variant>
      <vt:variant>
        <vt:lpwstr/>
      </vt:variant>
      <vt:variant>
        <vt:lpwstr>_Toc126468441</vt:lpwstr>
      </vt:variant>
      <vt:variant>
        <vt:i4>1900597</vt:i4>
      </vt:variant>
      <vt:variant>
        <vt:i4>470</vt:i4>
      </vt:variant>
      <vt:variant>
        <vt:i4>0</vt:i4>
      </vt:variant>
      <vt:variant>
        <vt:i4>5</vt:i4>
      </vt:variant>
      <vt:variant>
        <vt:lpwstr/>
      </vt:variant>
      <vt:variant>
        <vt:lpwstr>_Toc126468440</vt:lpwstr>
      </vt:variant>
      <vt:variant>
        <vt:i4>1703989</vt:i4>
      </vt:variant>
      <vt:variant>
        <vt:i4>464</vt:i4>
      </vt:variant>
      <vt:variant>
        <vt:i4>0</vt:i4>
      </vt:variant>
      <vt:variant>
        <vt:i4>5</vt:i4>
      </vt:variant>
      <vt:variant>
        <vt:lpwstr/>
      </vt:variant>
      <vt:variant>
        <vt:lpwstr>_Toc126468439</vt:lpwstr>
      </vt:variant>
      <vt:variant>
        <vt:i4>1703989</vt:i4>
      </vt:variant>
      <vt:variant>
        <vt:i4>458</vt:i4>
      </vt:variant>
      <vt:variant>
        <vt:i4>0</vt:i4>
      </vt:variant>
      <vt:variant>
        <vt:i4>5</vt:i4>
      </vt:variant>
      <vt:variant>
        <vt:lpwstr/>
      </vt:variant>
      <vt:variant>
        <vt:lpwstr>_Toc126468438</vt:lpwstr>
      </vt:variant>
      <vt:variant>
        <vt:i4>1703989</vt:i4>
      </vt:variant>
      <vt:variant>
        <vt:i4>452</vt:i4>
      </vt:variant>
      <vt:variant>
        <vt:i4>0</vt:i4>
      </vt:variant>
      <vt:variant>
        <vt:i4>5</vt:i4>
      </vt:variant>
      <vt:variant>
        <vt:lpwstr/>
      </vt:variant>
      <vt:variant>
        <vt:lpwstr>_Toc126468437</vt:lpwstr>
      </vt:variant>
      <vt:variant>
        <vt:i4>1703989</vt:i4>
      </vt:variant>
      <vt:variant>
        <vt:i4>446</vt:i4>
      </vt:variant>
      <vt:variant>
        <vt:i4>0</vt:i4>
      </vt:variant>
      <vt:variant>
        <vt:i4>5</vt:i4>
      </vt:variant>
      <vt:variant>
        <vt:lpwstr/>
      </vt:variant>
      <vt:variant>
        <vt:lpwstr>_Toc126468436</vt:lpwstr>
      </vt:variant>
      <vt:variant>
        <vt:i4>1703989</vt:i4>
      </vt:variant>
      <vt:variant>
        <vt:i4>440</vt:i4>
      </vt:variant>
      <vt:variant>
        <vt:i4>0</vt:i4>
      </vt:variant>
      <vt:variant>
        <vt:i4>5</vt:i4>
      </vt:variant>
      <vt:variant>
        <vt:lpwstr/>
      </vt:variant>
      <vt:variant>
        <vt:lpwstr>_Toc126468435</vt:lpwstr>
      </vt:variant>
      <vt:variant>
        <vt:i4>1703989</vt:i4>
      </vt:variant>
      <vt:variant>
        <vt:i4>434</vt:i4>
      </vt:variant>
      <vt:variant>
        <vt:i4>0</vt:i4>
      </vt:variant>
      <vt:variant>
        <vt:i4>5</vt:i4>
      </vt:variant>
      <vt:variant>
        <vt:lpwstr/>
      </vt:variant>
      <vt:variant>
        <vt:lpwstr>_Toc126468434</vt:lpwstr>
      </vt:variant>
      <vt:variant>
        <vt:i4>1703989</vt:i4>
      </vt:variant>
      <vt:variant>
        <vt:i4>428</vt:i4>
      </vt:variant>
      <vt:variant>
        <vt:i4>0</vt:i4>
      </vt:variant>
      <vt:variant>
        <vt:i4>5</vt:i4>
      </vt:variant>
      <vt:variant>
        <vt:lpwstr/>
      </vt:variant>
      <vt:variant>
        <vt:lpwstr>_Toc126468433</vt:lpwstr>
      </vt:variant>
      <vt:variant>
        <vt:i4>1703989</vt:i4>
      </vt:variant>
      <vt:variant>
        <vt:i4>422</vt:i4>
      </vt:variant>
      <vt:variant>
        <vt:i4>0</vt:i4>
      </vt:variant>
      <vt:variant>
        <vt:i4>5</vt:i4>
      </vt:variant>
      <vt:variant>
        <vt:lpwstr/>
      </vt:variant>
      <vt:variant>
        <vt:lpwstr>_Toc126468432</vt:lpwstr>
      </vt:variant>
      <vt:variant>
        <vt:i4>1703989</vt:i4>
      </vt:variant>
      <vt:variant>
        <vt:i4>416</vt:i4>
      </vt:variant>
      <vt:variant>
        <vt:i4>0</vt:i4>
      </vt:variant>
      <vt:variant>
        <vt:i4>5</vt:i4>
      </vt:variant>
      <vt:variant>
        <vt:lpwstr/>
      </vt:variant>
      <vt:variant>
        <vt:lpwstr>_Toc126468431</vt:lpwstr>
      </vt:variant>
      <vt:variant>
        <vt:i4>1703989</vt:i4>
      </vt:variant>
      <vt:variant>
        <vt:i4>410</vt:i4>
      </vt:variant>
      <vt:variant>
        <vt:i4>0</vt:i4>
      </vt:variant>
      <vt:variant>
        <vt:i4>5</vt:i4>
      </vt:variant>
      <vt:variant>
        <vt:lpwstr/>
      </vt:variant>
      <vt:variant>
        <vt:lpwstr>_Toc126468430</vt:lpwstr>
      </vt:variant>
      <vt:variant>
        <vt:i4>1769525</vt:i4>
      </vt:variant>
      <vt:variant>
        <vt:i4>404</vt:i4>
      </vt:variant>
      <vt:variant>
        <vt:i4>0</vt:i4>
      </vt:variant>
      <vt:variant>
        <vt:i4>5</vt:i4>
      </vt:variant>
      <vt:variant>
        <vt:lpwstr/>
      </vt:variant>
      <vt:variant>
        <vt:lpwstr>_Toc126468429</vt:lpwstr>
      </vt:variant>
      <vt:variant>
        <vt:i4>1769525</vt:i4>
      </vt:variant>
      <vt:variant>
        <vt:i4>398</vt:i4>
      </vt:variant>
      <vt:variant>
        <vt:i4>0</vt:i4>
      </vt:variant>
      <vt:variant>
        <vt:i4>5</vt:i4>
      </vt:variant>
      <vt:variant>
        <vt:lpwstr/>
      </vt:variant>
      <vt:variant>
        <vt:lpwstr>_Toc126468428</vt:lpwstr>
      </vt:variant>
      <vt:variant>
        <vt:i4>1769525</vt:i4>
      </vt:variant>
      <vt:variant>
        <vt:i4>392</vt:i4>
      </vt:variant>
      <vt:variant>
        <vt:i4>0</vt:i4>
      </vt:variant>
      <vt:variant>
        <vt:i4>5</vt:i4>
      </vt:variant>
      <vt:variant>
        <vt:lpwstr/>
      </vt:variant>
      <vt:variant>
        <vt:lpwstr>_Toc126468427</vt:lpwstr>
      </vt:variant>
      <vt:variant>
        <vt:i4>1769525</vt:i4>
      </vt:variant>
      <vt:variant>
        <vt:i4>386</vt:i4>
      </vt:variant>
      <vt:variant>
        <vt:i4>0</vt:i4>
      </vt:variant>
      <vt:variant>
        <vt:i4>5</vt:i4>
      </vt:variant>
      <vt:variant>
        <vt:lpwstr/>
      </vt:variant>
      <vt:variant>
        <vt:lpwstr>_Toc126468426</vt:lpwstr>
      </vt:variant>
      <vt:variant>
        <vt:i4>1769525</vt:i4>
      </vt:variant>
      <vt:variant>
        <vt:i4>380</vt:i4>
      </vt:variant>
      <vt:variant>
        <vt:i4>0</vt:i4>
      </vt:variant>
      <vt:variant>
        <vt:i4>5</vt:i4>
      </vt:variant>
      <vt:variant>
        <vt:lpwstr/>
      </vt:variant>
      <vt:variant>
        <vt:lpwstr>_Toc126468425</vt:lpwstr>
      </vt:variant>
      <vt:variant>
        <vt:i4>1769525</vt:i4>
      </vt:variant>
      <vt:variant>
        <vt:i4>374</vt:i4>
      </vt:variant>
      <vt:variant>
        <vt:i4>0</vt:i4>
      </vt:variant>
      <vt:variant>
        <vt:i4>5</vt:i4>
      </vt:variant>
      <vt:variant>
        <vt:lpwstr/>
      </vt:variant>
      <vt:variant>
        <vt:lpwstr>_Toc126468424</vt:lpwstr>
      </vt:variant>
      <vt:variant>
        <vt:i4>1769525</vt:i4>
      </vt:variant>
      <vt:variant>
        <vt:i4>368</vt:i4>
      </vt:variant>
      <vt:variant>
        <vt:i4>0</vt:i4>
      </vt:variant>
      <vt:variant>
        <vt:i4>5</vt:i4>
      </vt:variant>
      <vt:variant>
        <vt:lpwstr/>
      </vt:variant>
      <vt:variant>
        <vt:lpwstr>_Toc126468423</vt:lpwstr>
      </vt:variant>
      <vt:variant>
        <vt:i4>1769525</vt:i4>
      </vt:variant>
      <vt:variant>
        <vt:i4>362</vt:i4>
      </vt:variant>
      <vt:variant>
        <vt:i4>0</vt:i4>
      </vt:variant>
      <vt:variant>
        <vt:i4>5</vt:i4>
      </vt:variant>
      <vt:variant>
        <vt:lpwstr/>
      </vt:variant>
      <vt:variant>
        <vt:lpwstr>_Toc126468422</vt:lpwstr>
      </vt:variant>
      <vt:variant>
        <vt:i4>1769525</vt:i4>
      </vt:variant>
      <vt:variant>
        <vt:i4>356</vt:i4>
      </vt:variant>
      <vt:variant>
        <vt:i4>0</vt:i4>
      </vt:variant>
      <vt:variant>
        <vt:i4>5</vt:i4>
      </vt:variant>
      <vt:variant>
        <vt:lpwstr/>
      </vt:variant>
      <vt:variant>
        <vt:lpwstr>_Toc126468421</vt:lpwstr>
      </vt:variant>
      <vt:variant>
        <vt:i4>1769525</vt:i4>
      </vt:variant>
      <vt:variant>
        <vt:i4>350</vt:i4>
      </vt:variant>
      <vt:variant>
        <vt:i4>0</vt:i4>
      </vt:variant>
      <vt:variant>
        <vt:i4>5</vt:i4>
      </vt:variant>
      <vt:variant>
        <vt:lpwstr/>
      </vt:variant>
      <vt:variant>
        <vt:lpwstr>_Toc126468420</vt:lpwstr>
      </vt:variant>
      <vt:variant>
        <vt:i4>1572917</vt:i4>
      </vt:variant>
      <vt:variant>
        <vt:i4>344</vt:i4>
      </vt:variant>
      <vt:variant>
        <vt:i4>0</vt:i4>
      </vt:variant>
      <vt:variant>
        <vt:i4>5</vt:i4>
      </vt:variant>
      <vt:variant>
        <vt:lpwstr/>
      </vt:variant>
      <vt:variant>
        <vt:lpwstr>_Toc126468419</vt:lpwstr>
      </vt:variant>
      <vt:variant>
        <vt:i4>1572917</vt:i4>
      </vt:variant>
      <vt:variant>
        <vt:i4>338</vt:i4>
      </vt:variant>
      <vt:variant>
        <vt:i4>0</vt:i4>
      </vt:variant>
      <vt:variant>
        <vt:i4>5</vt:i4>
      </vt:variant>
      <vt:variant>
        <vt:lpwstr/>
      </vt:variant>
      <vt:variant>
        <vt:lpwstr>_Toc126468418</vt:lpwstr>
      </vt:variant>
      <vt:variant>
        <vt:i4>1572917</vt:i4>
      </vt:variant>
      <vt:variant>
        <vt:i4>332</vt:i4>
      </vt:variant>
      <vt:variant>
        <vt:i4>0</vt:i4>
      </vt:variant>
      <vt:variant>
        <vt:i4>5</vt:i4>
      </vt:variant>
      <vt:variant>
        <vt:lpwstr/>
      </vt:variant>
      <vt:variant>
        <vt:lpwstr>_Toc126468417</vt:lpwstr>
      </vt:variant>
      <vt:variant>
        <vt:i4>1572917</vt:i4>
      </vt:variant>
      <vt:variant>
        <vt:i4>326</vt:i4>
      </vt:variant>
      <vt:variant>
        <vt:i4>0</vt:i4>
      </vt:variant>
      <vt:variant>
        <vt:i4>5</vt:i4>
      </vt:variant>
      <vt:variant>
        <vt:lpwstr/>
      </vt:variant>
      <vt:variant>
        <vt:lpwstr>_Toc126468416</vt:lpwstr>
      </vt:variant>
      <vt:variant>
        <vt:i4>1572917</vt:i4>
      </vt:variant>
      <vt:variant>
        <vt:i4>320</vt:i4>
      </vt:variant>
      <vt:variant>
        <vt:i4>0</vt:i4>
      </vt:variant>
      <vt:variant>
        <vt:i4>5</vt:i4>
      </vt:variant>
      <vt:variant>
        <vt:lpwstr/>
      </vt:variant>
      <vt:variant>
        <vt:lpwstr>_Toc126468415</vt:lpwstr>
      </vt:variant>
      <vt:variant>
        <vt:i4>1572917</vt:i4>
      </vt:variant>
      <vt:variant>
        <vt:i4>314</vt:i4>
      </vt:variant>
      <vt:variant>
        <vt:i4>0</vt:i4>
      </vt:variant>
      <vt:variant>
        <vt:i4>5</vt:i4>
      </vt:variant>
      <vt:variant>
        <vt:lpwstr/>
      </vt:variant>
      <vt:variant>
        <vt:lpwstr>_Toc126468414</vt:lpwstr>
      </vt:variant>
      <vt:variant>
        <vt:i4>1572917</vt:i4>
      </vt:variant>
      <vt:variant>
        <vt:i4>308</vt:i4>
      </vt:variant>
      <vt:variant>
        <vt:i4>0</vt:i4>
      </vt:variant>
      <vt:variant>
        <vt:i4>5</vt:i4>
      </vt:variant>
      <vt:variant>
        <vt:lpwstr/>
      </vt:variant>
      <vt:variant>
        <vt:lpwstr>_Toc126468413</vt:lpwstr>
      </vt:variant>
      <vt:variant>
        <vt:i4>1572917</vt:i4>
      </vt:variant>
      <vt:variant>
        <vt:i4>302</vt:i4>
      </vt:variant>
      <vt:variant>
        <vt:i4>0</vt:i4>
      </vt:variant>
      <vt:variant>
        <vt:i4>5</vt:i4>
      </vt:variant>
      <vt:variant>
        <vt:lpwstr/>
      </vt:variant>
      <vt:variant>
        <vt:lpwstr>_Toc126468412</vt:lpwstr>
      </vt:variant>
      <vt:variant>
        <vt:i4>1572917</vt:i4>
      </vt:variant>
      <vt:variant>
        <vt:i4>296</vt:i4>
      </vt:variant>
      <vt:variant>
        <vt:i4>0</vt:i4>
      </vt:variant>
      <vt:variant>
        <vt:i4>5</vt:i4>
      </vt:variant>
      <vt:variant>
        <vt:lpwstr/>
      </vt:variant>
      <vt:variant>
        <vt:lpwstr>_Toc126468411</vt:lpwstr>
      </vt:variant>
      <vt:variant>
        <vt:i4>1572917</vt:i4>
      </vt:variant>
      <vt:variant>
        <vt:i4>290</vt:i4>
      </vt:variant>
      <vt:variant>
        <vt:i4>0</vt:i4>
      </vt:variant>
      <vt:variant>
        <vt:i4>5</vt:i4>
      </vt:variant>
      <vt:variant>
        <vt:lpwstr/>
      </vt:variant>
      <vt:variant>
        <vt:lpwstr>_Toc126468410</vt:lpwstr>
      </vt:variant>
      <vt:variant>
        <vt:i4>1638453</vt:i4>
      </vt:variant>
      <vt:variant>
        <vt:i4>284</vt:i4>
      </vt:variant>
      <vt:variant>
        <vt:i4>0</vt:i4>
      </vt:variant>
      <vt:variant>
        <vt:i4>5</vt:i4>
      </vt:variant>
      <vt:variant>
        <vt:lpwstr/>
      </vt:variant>
      <vt:variant>
        <vt:lpwstr>_Toc126468409</vt:lpwstr>
      </vt:variant>
      <vt:variant>
        <vt:i4>1638453</vt:i4>
      </vt:variant>
      <vt:variant>
        <vt:i4>278</vt:i4>
      </vt:variant>
      <vt:variant>
        <vt:i4>0</vt:i4>
      </vt:variant>
      <vt:variant>
        <vt:i4>5</vt:i4>
      </vt:variant>
      <vt:variant>
        <vt:lpwstr/>
      </vt:variant>
      <vt:variant>
        <vt:lpwstr>_Toc126468408</vt:lpwstr>
      </vt:variant>
      <vt:variant>
        <vt:i4>1638453</vt:i4>
      </vt:variant>
      <vt:variant>
        <vt:i4>272</vt:i4>
      </vt:variant>
      <vt:variant>
        <vt:i4>0</vt:i4>
      </vt:variant>
      <vt:variant>
        <vt:i4>5</vt:i4>
      </vt:variant>
      <vt:variant>
        <vt:lpwstr/>
      </vt:variant>
      <vt:variant>
        <vt:lpwstr>_Toc126468407</vt:lpwstr>
      </vt:variant>
      <vt:variant>
        <vt:i4>1638453</vt:i4>
      </vt:variant>
      <vt:variant>
        <vt:i4>266</vt:i4>
      </vt:variant>
      <vt:variant>
        <vt:i4>0</vt:i4>
      </vt:variant>
      <vt:variant>
        <vt:i4>5</vt:i4>
      </vt:variant>
      <vt:variant>
        <vt:lpwstr/>
      </vt:variant>
      <vt:variant>
        <vt:lpwstr>_Toc126468406</vt:lpwstr>
      </vt:variant>
      <vt:variant>
        <vt:i4>1638453</vt:i4>
      </vt:variant>
      <vt:variant>
        <vt:i4>260</vt:i4>
      </vt:variant>
      <vt:variant>
        <vt:i4>0</vt:i4>
      </vt:variant>
      <vt:variant>
        <vt:i4>5</vt:i4>
      </vt:variant>
      <vt:variant>
        <vt:lpwstr/>
      </vt:variant>
      <vt:variant>
        <vt:lpwstr>_Toc126468405</vt:lpwstr>
      </vt:variant>
      <vt:variant>
        <vt:i4>1638453</vt:i4>
      </vt:variant>
      <vt:variant>
        <vt:i4>254</vt:i4>
      </vt:variant>
      <vt:variant>
        <vt:i4>0</vt:i4>
      </vt:variant>
      <vt:variant>
        <vt:i4>5</vt:i4>
      </vt:variant>
      <vt:variant>
        <vt:lpwstr/>
      </vt:variant>
      <vt:variant>
        <vt:lpwstr>_Toc126468404</vt:lpwstr>
      </vt:variant>
      <vt:variant>
        <vt:i4>1638453</vt:i4>
      </vt:variant>
      <vt:variant>
        <vt:i4>248</vt:i4>
      </vt:variant>
      <vt:variant>
        <vt:i4>0</vt:i4>
      </vt:variant>
      <vt:variant>
        <vt:i4>5</vt:i4>
      </vt:variant>
      <vt:variant>
        <vt:lpwstr/>
      </vt:variant>
      <vt:variant>
        <vt:lpwstr>_Toc126468403</vt:lpwstr>
      </vt:variant>
      <vt:variant>
        <vt:i4>1638453</vt:i4>
      </vt:variant>
      <vt:variant>
        <vt:i4>242</vt:i4>
      </vt:variant>
      <vt:variant>
        <vt:i4>0</vt:i4>
      </vt:variant>
      <vt:variant>
        <vt:i4>5</vt:i4>
      </vt:variant>
      <vt:variant>
        <vt:lpwstr/>
      </vt:variant>
      <vt:variant>
        <vt:lpwstr>_Toc126468402</vt:lpwstr>
      </vt:variant>
      <vt:variant>
        <vt:i4>1638453</vt:i4>
      </vt:variant>
      <vt:variant>
        <vt:i4>236</vt:i4>
      </vt:variant>
      <vt:variant>
        <vt:i4>0</vt:i4>
      </vt:variant>
      <vt:variant>
        <vt:i4>5</vt:i4>
      </vt:variant>
      <vt:variant>
        <vt:lpwstr/>
      </vt:variant>
      <vt:variant>
        <vt:lpwstr>_Toc126468401</vt:lpwstr>
      </vt:variant>
      <vt:variant>
        <vt:i4>1638453</vt:i4>
      </vt:variant>
      <vt:variant>
        <vt:i4>230</vt:i4>
      </vt:variant>
      <vt:variant>
        <vt:i4>0</vt:i4>
      </vt:variant>
      <vt:variant>
        <vt:i4>5</vt:i4>
      </vt:variant>
      <vt:variant>
        <vt:lpwstr/>
      </vt:variant>
      <vt:variant>
        <vt:lpwstr>_Toc126468400</vt:lpwstr>
      </vt:variant>
      <vt:variant>
        <vt:i4>1048626</vt:i4>
      </vt:variant>
      <vt:variant>
        <vt:i4>224</vt:i4>
      </vt:variant>
      <vt:variant>
        <vt:i4>0</vt:i4>
      </vt:variant>
      <vt:variant>
        <vt:i4>5</vt:i4>
      </vt:variant>
      <vt:variant>
        <vt:lpwstr/>
      </vt:variant>
      <vt:variant>
        <vt:lpwstr>_Toc126468399</vt:lpwstr>
      </vt:variant>
      <vt:variant>
        <vt:i4>1048626</vt:i4>
      </vt:variant>
      <vt:variant>
        <vt:i4>218</vt:i4>
      </vt:variant>
      <vt:variant>
        <vt:i4>0</vt:i4>
      </vt:variant>
      <vt:variant>
        <vt:i4>5</vt:i4>
      </vt:variant>
      <vt:variant>
        <vt:lpwstr/>
      </vt:variant>
      <vt:variant>
        <vt:lpwstr>_Toc126468398</vt:lpwstr>
      </vt:variant>
      <vt:variant>
        <vt:i4>1048626</vt:i4>
      </vt:variant>
      <vt:variant>
        <vt:i4>212</vt:i4>
      </vt:variant>
      <vt:variant>
        <vt:i4>0</vt:i4>
      </vt:variant>
      <vt:variant>
        <vt:i4>5</vt:i4>
      </vt:variant>
      <vt:variant>
        <vt:lpwstr/>
      </vt:variant>
      <vt:variant>
        <vt:lpwstr>_Toc126468397</vt:lpwstr>
      </vt:variant>
      <vt:variant>
        <vt:i4>1048626</vt:i4>
      </vt:variant>
      <vt:variant>
        <vt:i4>206</vt:i4>
      </vt:variant>
      <vt:variant>
        <vt:i4>0</vt:i4>
      </vt:variant>
      <vt:variant>
        <vt:i4>5</vt:i4>
      </vt:variant>
      <vt:variant>
        <vt:lpwstr/>
      </vt:variant>
      <vt:variant>
        <vt:lpwstr>_Toc126468396</vt:lpwstr>
      </vt:variant>
      <vt:variant>
        <vt:i4>1048626</vt:i4>
      </vt:variant>
      <vt:variant>
        <vt:i4>200</vt:i4>
      </vt:variant>
      <vt:variant>
        <vt:i4>0</vt:i4>
      </vt:variant>
      <vt:variant>
        <vt:i4>5</vt:i4>
      </vt:variant>
      <vt:variant>
        <vt:lpwstr/>
      </vt:variant>
      <vt:variant>
        <vt:lpwstr>_Toc126468395</vt:lpwstr>
      </vt:variant>
      <vt:variant>
        <vt:i4>1048626</vt:i4>
      </vt:variant>
      <vt:variant>
        <vt:i4>194</vt:i4>
      </vt:variant>
      <vt:variant>
        <vt:i4>0</vt:i4>
      </vt:variant>
      <vt:variant>
        <vt:i4>5</vt:i4>
      </vt:variant>
      <vt:variant>
        <vt:lpwstr/>
      </vt:variant>
      <vt:variant>
        <vt:lpwstr>_Toc126468394</vt:lpwstr>
      </vt:variant>
      <vt:variant>
        <vt:i4>1048626</vt:i4>
      </vt:variant>
      <vt:variant>
        <vt:i4>188</vt:i4>
      </vt:variant>
      <vt:variant>
        <vt:i4>0</vt:i4>
      </vt:variant>
      <vt:variant>
        <vt:i4>5</vt:i4>
      </vt:variant>
      <vt:variant>
        <vt:lpwstr/>
      </vt:variant>
      <vt:variant>
        <vt:lpwstr>_Toc126468393</vt:lpwstr>
      </vt:variant>
      <vt:variant>
        <vt:i4>1048626</vt:i4>
      </vt:variant>
      <vt:variant>
        <vt:i4>182</vt:i4>
      </vt:variant>
      <vt:variant>
        <vt:i4>0</vt:i4>
      </vt:variant>
      <vt:variant>
        <vt:i4>5</vt:i4>
      </vt:variant>
      <vt:variant>
        <vt:lpwstr/>
      </vt:variant>
      <vt:variant>
        <vt:lpwstr>_Toc126468392</vt:lpwstr>
      </vt:variant>
      <vt:variant>
        <vt:i4>1048626</vt:i4>
      </vt:variant>
      <vt:variant>
        <vt:i4>176</vt:i4>
      </vt:variant>
      <vt:variant>
        <vt:i4>0</vt:i4>
      </vt:variant>
      <vt:variant>
        <vt:i4>5</vt:i4>
      </vt:variant>
      <vt:variant>
        <vt:lpwstr/>
      </vt:variant>
      <vt:variant>
        <vt:lpwstr>_Toc126468391</vt:lpwstr>
      </vt:variant>
      <vt:variant>
        <vt:i4>1048626</vt:i4>
      </vt:variant>
      <vt:variant>
        <vt:i4>170</vt:i4>
      </vt:variant>
      <vt:variant>
        <vt:i4>0</vt:i4>
      </vt:variant>
      <vt:variant>
        <vt:i4>5</vt:i4>
      </vt:variant>
      <vt:variant>
        <vt:lpwstr/>
      </vt:variant>
      <vt:variant>
        <vt:lpwstr>_Toc126468390</vt:lpwstr>
      </vt:variant>
      <vt:variant>
        <vt:i4>1114162</vt:i4>
      </vt:variant>
      <vt:variant>
        <vt:i4>164</vt:i4>
      </vt:variant>
      <vt:variant>
        <vt:i4>0</vt:i4>
      </vt:variant>
      <vt:variant>
        <vt:i4>5</vt:i4>
      </vt:variant>
      <vt:variant>
        <vt:lpwstr/>
      </vt:variant>
      <vt:variant>
        <vt:lpwstr>_Toc126468389</vt:lpwstr>
      </vt:variant>
      <vt:variant>
        <vt:i4>1114162</vt:i4>
      </vt:variant>
      <vt:variant>
        <vt:i4>158</vt:i4>
      </vt:variant>
      <vt:variant>
        <vt:i4>0</vt:i4>
      </vt:variant>
      <vt:variant>
        <vt:i4>5</vt:i4>
      </vt:variant>
      <vt:variant>
        <vt:lpwstr/>
      </vt:variant>
      <vt:variant>
        <vt:lpwstr>_Toc126468388</vt:lpwstr>
      </vt:variant>
      <vt:variant>
        <vt:i4>1114162</vt:i4>
      </vt:variant>
      <vt:variant>
        <vt:i4>152</vt:i4>
      </vt:variant>
      <vt:variant>
        <vt:i4>0</vt:i4>
      </vt:variant>
      <vt:variant>
        <vt:i4>5</vt:i4>
      </vt:variant>
      <vt:variant>
        <vt:lpwstr/>
      </vt:variant>
      <vt:variant>
        <vt:lpwstr>_Toc126468387</vt:lpwstr>
      </vt:variant>
      <vt:variant>
        <vt:i4>1114162</vt:i4>
      </vt:variant>
      <vt:variant>
        <vt:i4>146</vt:i4>
      </vt:variant>
      <vt:variant>
        <vt:i4>0</vt:i4>
      </vt:variant>
      <vt:variant>
        <vt:i4>5</vt:i4>
      </vt:variant>
      <vt:variant>
        <vt:lpwstr/>
      </vt:variant>
      <vt:variant>
        <vt:lpwstr>_Toc126468386</vt:lpwstr>
      </vt:variant>
      <vt:variant>
        <vt:i4>1114162</vt:i4>
      </vt:variant>
      <vt:variant>
        <vt:i4>140</vt:i4>
      </vt:variant>
      <vt:variant>
        <vt:i4>0</vt:i4>
      </vt:variant>
      <vt:variant>
        <vt:i4>5</vt:i4>
      </vt:variant>
      <vt:variant>
        <vt:lpwstr/>
      </vt:variant>
      <vt:variant>
        <vt:lpwstr>_Toc126468385</vt:lpwstr>
      </vt:variant>
      <vt:variant>
        <vt:i4>1114162</vt:i4>
      </vt:variant>
      <vt:variant>
        <vt:i4>134</vt:i4>
      </vt:variant>
      <vt:variant>
        <vt:i4>0</vt:i4>
      </vt:variant>
      <vt:variant>
        <vt:i4>5</vt:i4>
      </vt:variant>
      <vt:variant>
        <vt:lpwstr/>
      </vt:variant>
      <vt:variant>
        <vt:lpwstr>_Toc126468384</vt:lpwstr>
      </vt:variant>
      <vt:variant>
        <vt:i4>1114162</vt:i4>
      </vt:variant>
      <vt:variant>
        <vt:i4>128</vt:i4>
      </vt:variant>
      <vt:variant>
        <vt:i4>0</vt:i4>
      </vt:variant>
      <vt:variant>
        <vt:i4>5</vt:i4>
      </vt:variant>
      <vt:variant>
        <vt:lpwstr/>
      </vt:variant>
      <vt:variant>
        <vt:lpwstr>_Toc126468383</vt:lpwstr>
      </vt:variant>
      <vt:variant>
        <vt:i4>1114162</vt:i4>
      </vt:variant>
      <vt:variant>
        <vt:i4>122</vt:i4>
      </vt:variant>
      <vt:variant>
        <vt:i4>0</vt:i4>
      </vt:variant>
      <vt:variant>
        <vt:i4>5</vt:i4>
      </vt:variant>
      <vt:variant>
        <vt:lpwstr/>
      </vt:variant>
      <vt:variant>
        <vt:lpwstr>_Toc126468382</vt:lpwstr>
      </vt:variant>
      <vt:variant>
        <vt:i4>1114162</vt:i4>
      </vt:variant>
      <vt:variant>
        <vt:i4>116</vt:i4>
      </vt:variant>
      <vt:variant>
        <vt:i4>0</vt:i4>
      </vt:variant>
      <vt:variant>
        <vt:i4>5</vt:i4>
      </vt:variant>
      <vt:variant>
        <vt:lpwstr/>
      </vt:variant>
      <vt:variant>
        <vt:lpwstr>_Toc126468381</vt:lpwstr>
      </vt:variant>
      <vt:variant>
        <vt:i4>1114162</vt:i4>
      </vt:variant>
      <vt:variant>
        <vt:i4>110</vt:i4>
      </vt:variant>
      <vt:variant>
        <vt:i4>0</vt:i4>
      </vt:variant>
      <vt:variant>
        <vt:i4>5</vt:i4>
      </vt:variant>
      <vt:variant>
        <vt:lpwstr/>
      </vt:variant>
      <vt:variant>
        <vt:lpwstr>_Toc126468380</vt:lpwstr>
      </vt:variant>
      <vt:variant>
        <vt:i4>1966130</vt:i4>
      </vt:variant>
      <vt:variant>
        <vt:i4>104</vt:i4>
      </vt:variant>
      <vt:variant>
        <vt:i4>0</vt:i4>
      </vt:variant>
      <vt:variant>
        <vt:i4>5</vt:i4>
      </vt:variant>
      <vt:variant>
        <vt:lpwstr/>
      </vt:variant>
      <vt:variant>
        <vt:lpwstr>_Toc126468379</vt:lpwstr>
      </vt:variant>
      <vt:variant>
        <vt:i4>1966130</vt:i4>
      </vt:variant>
      <vt:variant>
        <vt:i4>98</vt:i4>
      </vt:variant>
      <vt:variant>
        <vt:i4>0</vt:i4>
      </vt:variant>
      <vt:variant>
        <vt:i4>5</vt:i4>
      </vt:variant>
      <vt:variant>
        <vt:lpwstr/>
      </vt:variant>
      <vt:variant>
        <vt:lpwstr>_Toc126468378</vt:lpwstr>
      </vt:variant>
      <vt:variant>
        <vt:i4>1966130</vt:i4>
      </vt:variant>
      <vt:variant>
        <vt:i4>92</vt:i4>
      </vt:variant>
      <vt:variant>
        <vt:i4>0</vt:i4>
      </vt:variant>
      <vt:variant>
        <vt:i4>5</vt:i4>
      </vt:variant>
      <vt:variant>
        <vt:lpwstr/>
      </vt:variant>
      <vt:variant>
        <vt:lpwstr>_Toc126468377</vt:lpwstr>
      </vt:variant>
      <vt:variant>
        <vt:i4>1966130</vt:i4>
      </vt:variant>
      <vt:variant>
        <vt:i4>86</vt:i4>
      </vt:variant>
      <vt:variant>
        <vt:i4>0</vt:i4>
      </vt:variant>
      <vt:variant>
        <vt:i4>5</vt:i4>
      </vt:variant>
      <vt:variant>
        <vt:lpwstr/>
      </vt:variant>
      <vt:variant>
        <vt:lpwstr>_Toc126468376</vt:lpwstr>
      </vt:variant>
      <vt:variant>
        <vt:i4>1966130</vt:i4>
      </vt:variant>
      <vt:variant>
        <vt:i4>80</vt:i4>
      </vt:variant>
      <vt:variant>
        <vt:i4>0</vt:i4>
      </vt:variant>
      <vt:variant>
        <vt:i4>5</vt:i4>
      </vt:variant>
      <vt:variant>
        <vt:lpwstr/>
      </vt:variant>
      <vt:variant>
        <vt:lpwstr>_Toc126468375</vt:lpwstr>
      </vt:variant>
      <vt:variant>
        <vt:i4>1966130</vt:i4>
      </vt:variant>
      <vt:variant>
        <vt:i4>74</vt:i4>
      </vt:variant>
      <vt:variant>
        <vt:i4>0</vt:i4>
      </vt:variant>
      <vt:variant>
        <vt:i4>5</vt:i4>
      </vt:variant>
      <vt:variant>
        <vt:lpwstr/>
      </vt:variant>
      <vt:variant>
        <vt:lpwstr>_Toc126468374</vt:lpwstr>
      </vt:variant>
      <vt:variant>
        <vt:i4>1966130</vt:i4>
      </vt:variant>
      <vt:variant>
        <vt:i4>68</vt:i4>
      </vt:variant>
      <vt:variant>
        <vt:i4>0</vt:i4>
      </vt:variant>
      <vt:variant>
        <vt:i4>5</vt:i4>
      </vt:variant>
      <vt:variant>
        <vt:lpwstr/>
      </vt:variant>
      <vt:variant>
        <vt:lpwstr>_Toc126468373</vt:lpwstr>
      </vt:variant>
      <vt:variant>
        <vt:i4>1310770</vt:i4>
      </vt:variant>
      <vt:variant>
        <vt:i4>56</vt:i4>
      </vt:variant>
      <vt:variant>
        <vt:i4>0</vt:i4>
      </vt:variant>
      <vt:variant>
        <vt:i4>5</vt:i4>
      </vt:variant>
      <vt:variant>
        <vt:lpwstr/>
      </vt:variant>
      <vt:variant>
        <vt:lpwstr>_Toc183834378</vt:lpwstr>
      </vt:variant>
      <vt:variant>
        <vt:i4>1310770</vt:i4>
      </vt:variant>
      <vt:variant>
        <vt:i4>50</vt:i4>
      </vt:variant>
      <vt:variant>
        <vt:i4>0</vt:i4>
      </vt:variant>
      <vt:variant>
        <vt:i4>5</vt:i4>
      </vt:variant>
      <vt:variant>
        <vt:lpwstr/>
      </vt:variant>
      <vt:variant>
        <vt:lpwstr>_Toc183834377</vt:lpwstr>
      </vt:variant>
      <vt:variant>
        <vt:i4>1310770</vt:i4>
      </vt:variant>
      <vt:variant>
        <vt:i4>44</vt:i4>
      </vt:variant>
      <vt:variant>
        <vt:i4>0</vt:i4>
      </vt:variant>
      <vt:variant>
        <vt:i4>5</vt:i4>
      </vt:variant>
      <vt:variant>
        <vt:lpwstr/>
      </vt:variant>
      <vt:variant>
        <vt:lpwstr>_Toc183834376</vt:lpwstr>
      </vt:variant>
      <vt:variant>
        <vt:i4>1310770</vt:i4>
      </vt:variant>
      <vt:variant>
        <vt:i4>38</vt:i4>
      </vt:variant>
      <vt:variant>
        <vt:i4>0</vt:i4>
      </vt:variant>
      <vt:variant>
        <vt:i4>5</vt:i4>
      </vt:variant>
      <vt:variant>
        <vt:lpwstr/>
      </vt:variant>
      <vt:variant>
        <vt:lpwstr>_Toc183834375</vt:lpwstr>
      </vt:variant>
      <vt:variant>
        <vt:i4>1310770</vt:i4>
      </vt:variant>
      <vt:variant>
        <vt:i4>32</vt:i4>
      </vt:variant>
      <vt:variant>
        <vt:i4>0</vt:i4>
      </vt:variant>
      <vt:variant>
        <vt:i4>5</vt:i4>
      </vt:variant>
      <vt:variant>
        <vt:lpwstr/>
      </vt:variant>
      <vt:variant>
        <vt:lpwstr>_Toc183834374</vt:lpwstr>
      </vt:variant>
      <vt:variant>
        <vt:i4>1310770</vt:i4>
      </vt:variant>
      <vt:variant>
        <vt:i4>26</vt:i4>
      </vt:variant>
      <vt:variant>
        <vt:i4>0</vt:i4>
      </vt:variant>
      <vt:variant>
        <vt:i4>5</vt:i4>
      </vt:variant>
      <vt:variant>
        <vt:lpwstr/>
      </vt:variant>
      <vt:variant>
        <vt:lpwstr>_Toc183834373</vt:lpwstr>
      </vt:variant>
      <vt:variant>
        <vt:i4>1310770</vt:i4>
      </vt:variant>
      <vt:variant>
        <vt:i4>20</vt:i4>
      </vt:variant>
      <vt:variant>
        <vt:i4>0</vt:i4>
      </vt:variant>
      <vt:variant>
        <vt:i4>5</vt:i4>
      </vt:variant>
      <vt:variant>
        <vt:lpwstr/>
      </vt:variant>
      <vt:variant>
        <vt:lpwstr>_Toc183834372</vt:lpwstr>
      </vt:variant>
      <vt:variant>
        <vt:i4>1310770</vt:i4>
      </vt:variant>
      <vt:variant>
        <vt:i4>14</vt:i4>
      </vt:variant>
      <vt:variant>
        <vt:i4>0</vt:i4>
      </vt:variant>
      <vt:variant>
        <vt:i4>5</vt:i4>
      </vt:variant>
      <vt:variant>
        <vt:lpwstr/>
      </vt:variant>
      <vt:variant>
        <vt:lpwstr>_Toc183834371</vt:lpwstr>
      </vt:variant>
      <vt:variant>
        <vt:i4>1310770</vt:i4>
      </vt:variant>
      <vt:variant>
        <vt:i4>8</vt:i4>
      </vt:variant>
      <vt:variant>
        <vt:i4>0</vt:i4>
      </vt:variant>
      <vt:variant>
        <vt:i4>5</vt:i4>
      </vt:variant>
      <vt:variant>
        <vt:lpwstr/>
      </vt:variant>
      <vt:variant>
        <vt:lpwstr>_Toc183834370</vt:lpwstr>
      </vt:variant>
      <vt:variant>
        <vt:i4>1376306</vt:i4>
      </vt:variant>
      <vt:variant>
        <vt:i4>2</vt:i4>
      </vt:variant>
      <vt:variant>
        <vt:i4>0</vt:i4>
      </vt:variant>
      <vt:variant>
        <vt:i4>5</vt:i4>
      </vt:variant>
      <vt:variant>
        <vt:lpwstr/>
      </vt:variant>
      <vt:variant>
        <vt:lpwstr>_Toc183834369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Healthcare Payments Hub</dc:title>
  <dc:subject>Collection of processes in daily use</dc:subject>
  <dc:creator>rquatier</dc:creator>
  <cp:lastModifiedBy>Peter</cp:lastModifiedBy>
  <cp:revision>3</cp:revision>
  <cp:lastPrinted>2012-12-15T19:05:00Z</cp:lastPrinted>
  <dcterms:created xsi:type="dcterms:W3CDTF">2013-01-15T20:46:00Z</dcterms:created>
  <dcterms:modified xsi:type="dcterms:W3CDTF">2013-01-15T20:46:00Z</dcterms:modified>
</cp:coreProperties>
</file>